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 Documentation Index</w:t>
      </w:r>
    </w:p>
    <w:p>
      <w:pPr>
        <w:pStyle w:val="Heading2"/>
      </w:pPr>
      <w:r>
        <w:t>Document control</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Set Title</w:t>
            </w:r>
          </w:p>
        </w:tc>
        <w:tc>
          <w:tcPr>
            <w:tcW w:type="dxa" w:w="4320"/>
          </w:tcPr>
          <w:p>
            <w:r>
              <w:t>ChrisPa Software Development, Deployment and Operations Documentation</w:t>
            </w:r>
          </w:p>
        </w:tc>
      </w:tr>
      <w:tr>
        <w:tc>
          <w:tcPr>
            <w:tcW w:type="dxa" w:w="4320"/>
          </w:tcPr>
          <w:p>
            <w:r>
              <w:t>Version</w:t>
            </w:r>
          </w:p>
        </w:tc>
        <w:tc>
          <w:tcPr>
            <w:tcW w:type="dxa" w:w="4320"/>
          </w:tcPr>
          <w:p>
            <w:r>
              <w:t>1.0</w:t>
            </w:r>
          </w:p>
        </w:tc>
      </w:tr>
      <w:tr>
        <w:tc>
          <w:tcPr>
            <w:tcW w:type="dxa" w:w="4320"/>
          </w:tcPr>
          <w:p>
            <w:r>
              <w:t>Date</w:t>
            </w:r>
          </w:p>
        </w:tc>
        <w:tc>
          <w:tcPr>
            <w:tcW w:type="dxa" w:w="4320"/>
          </w:tcPr>
          <w:p>
            <w:r>
              <w:t>12 August 2026</w:t>
            </w:r>
          </w:p>
        </w:tc>
      </w:tr>
      <w:tr>
        <w:tc>
          <w:tcPr>
            <w:tcW w:type="dxa" w:w="4320"/>
          </w:tcPr>
          <w:p>
            <w:r>
              <w:t>Format</w:t>
            </w:r>
          </w:p>
        </w:tc>
        <w:tc>
          <w:tcPr>
            <w:tcW w:type="dxa" w:w="4320"/>
          </w:tcPr>
          <w:p>
            <w:r>
              <w:t xml:space="preserve">Markdown, </w:t>
            </w:r>
            <w:r>
              <w:rPr>
                <w:rFonts w:ascii="Consolas" w:hAnsi="Consolas"/>
                <w:sz w:val="20"/>
              </w:rPr>
              <w:t>docs/</w:t>
            </w:r>
          </w:p>
        </w:tc>
      </w:tr>
      <w:tr>
        <w:tc>
          <w:tcPr>
            <w:tcW w:type="dxa" w:w="4320"/>
          </w:tcPr>
          <w:p>
            <w:r>
              <w:t>Status</w:t>
            </w:r>
          </w:p>
        </w:tc>
        <w:tc>
          <w:tcPr>
            <w:tcW w:type="dxa" w:w="4320"/>
          </w:tcPr>
          <w:p>
            <w:r>
              <w:t>Baseline — reflects the project's actual state as of this date; update alongside the code as it changes</w:t>
            </w:r>
          </w:p>
        </w:tc>
      </w:tr>
      <w:tr>
        <w:tc>
          <w:tcPr>
            <w:tcW w:type="dxa" w:w="4320"/>
          </w:tcPr>
          <w:p>
            <w:r>
              <w:t>Source template</w:t>
            </w:r>
          </w:p>
        </w:tc>
        <w:tc>
          <w:tcPr>
            <w:tcW w:type="dxa" w:w="4320"/>
          </w:tcPr>
          <w:p>
            <w:r>
              <w:rPr>
                <w:rFonts w:ascii="Consolas" w:hAnsi="Consolas"/>
                <w:sz w:val="20"/>
              </w:rPr>
              <w:t>Software_Development_and_DevOps_Documentation_v2_Observability.docx</w:t>
            </w:r>
            <w:r>
              <w:t xml:space="preserve"> (generic self-hosted DevOps platform template)</w:t>
            </w:r>
          </w:p>
        </w:tc>
      </w:tr>
    </w:tbl>
    <w:p>
      <w:pPr>
        <w:pStyle w:val="Heading2"/>
      </w:pPr>
      <w:r>
        <w:t>Why this document set exists and how it should be read</w:t>
      </w:r>
    </w:p>
    <w:p>
      <w:r>
        <w:t xml:space="preserve">This set was produced by analyzing </w:t>
      </w:r>
      <w:r>
        <w:rPr>
          <w:rFonts w:ascii="Consolas" w:hAnsi="Consolas"/>
          <w:sz w:val="20"/>
        </w:rPr>
        <w:t>docs/Software_Development_and_DevOps_Documentation_v2_Observability.docx</w:t>
      </w:r>
      <w:r>
        <w:t xml:space="preserve"> — a generic template for documenting a self-hosted software development and operations platform — and restructuring ChrisPa's project documentation to follow the same headings and scope. The template assumes infrastructure (GitLab, Ansible, WireGuard, Traefik/Certbot, LXC, iRedMail, Zulip, Pi-hole, Nextcloud, Checkmk, Borg/borgmatic) and an observability stack (Prometheus/Grafana, Jaeger, EFK/ELK) that ChrisPa, a small Uganda-based e-commerce business, does not run and — per the scope agreed for this documentation pass — should not be described as if it did.</w:t>
      </w:r>
    </w:p>
    <w:p>
      <w:r>
        <w:rPr>
          <w:b/>
        </w:rPr>
        <w:t>Every document below leads with ChrisPa's actual current state</w:t>
      </w:r>
      <w:r>
        <w:t>, grounded in the real code (</w:t>
      </w:r>
      <w:r>
        <w:rPr>
          <w:rFonts w:ascii="Consolas" w:hAnsi="Consolas"/>
          <w:sz w:val="20"/>
        </w:rPr>
        <w:t>apps/api</w:t>
      </w:r>
      <w:r>
        <w:t xml:space="preserve">, </w:t>
      </w:r>
      <w:r>
        <w:rPr>
          <w:rFonts w:ascii="Consolas" w:hAnsi="Consolas"/>
          <w:sz w:val="20"/>
        </w:rPr>
        <w:t>apps/storefront</w:t>
      </w:r>
      <w:r>
        <w:t xml:space="preserve">, </w:t>
      </w:r>
      <w:r>
        <w:rPr>
          <w:rFonts w:ascii="Consolas" w:hAnsi="Consolas"/>
          <w:sz w:val="20"/>
        </w:rPr>
        <w:t>apps/admin</w:t>
      </w:r>
      <w:r>
        <w:t xml:space="preserve">, </w:t>
      </w:r>
      <w:r>
        <w:rPr>
          <w:rFonts w:ascii="Consolas" w:hAnsi="Consolas"/>
          <w:sz w:val="20"/>
        </w:rPr>
        <w:t>docker-compose.yml</w:t>
      </w:r>
      <w:r>
        <w:t xml:space="preserve">, </w:t>
      </w:r>
      <w:r>
        <w:rPr>
          <w:rFonts w:ascii="Consolas" w:hAnsi="Consolas"/>
          <w:sz w:val="20"/>
        </w:rPr>
        <w:t>schema.prisma</w:t>
      </w:r>
      <w:r>
        <w:t xml:space="preserve">) rather than the template's assumptions, and only then gives a right-sized recommendation for what's missing. Gaps are marked </w:t>
      </w:r>
      <w:r>
        <w:rPr>
          <w:b/>
        </w:rPr>
        <w:t>Not implemented</w:t>
      </w:r>
      <w:r>
        <w:t xml:space="preserve"> / </w:t>
      </w:r>
      <w:r>
        <w:rPr>
          <w:b/>
        </w:rPr>
        <w:t>Not adopted</w:t>
      </w:r>
      <w:r>
        <w:t xml:space="preserve"> explicitly rather than glossed over — treat every such marker as a real punch-list item, not documentation of something that secretly exists.</w:t>
      </w:r>
    </w:p>
    <w:p>
      <w:r>
        <w:t xml:space="preserve">This is a living document set: update it alongside the code, the same discipline </w:t>
      </w:r>
      <w:r>
        <w:rPr>
          <w:rFonts w:ascii="Consolas" w:hAnsi="Consolas"/>
          <w:sz w:val="20"/>
        </w:rPr>
        <w:t>docs/SRS.md</w:t>
      </w:r>
      <w:r>
        <w:t xml:space="preserve"> already follows.</w:t>
      </w:r>
    </w:p>
    <w:p>
      <w:r>
        <w:rPr>
          <w:b/>
        </w:rPr>
        <w:t>Documents 19 and 20 are a different genre</w:t>
      </w:r>
      <w:r>
        <w:t xml:space="preserve">, added later at the user's request — genuine end-user manuals (one for customers, one for staff), not adaptations of the DevOps template's sections like 01–18 are. They're written in second person, for someone using the product day to day, not for an engineer maintaining it — if you want to know </w:t>
      </w:r>
      <w:r>
        <w:rPr>
          <w:i/>
        </w:rPr>
        <w:t>how the system is built</w:t>
      </w:r>
      <w:r>
        <w:t xml:space="preserve">, read 01–18; if you want to know </w:t>
      </w:r>
      <w:r>
        <w:rPr>
          <w:i/>
        </w:rPr>
        <w:t>how to actually use it</w:t>
      </w:r>
      <w:r>
        <w:t>, read 19/20.</w:t>
      </w:r>
    </w:p>
    <w:p>
      <w:pPr>
        <w:pStyle w:val="Heading2"/>
      </w:pPr>
      <w:r>
        <w:t>Reading order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Document</w:t>
            </w:r>
          </w:p>
        </w:tc>
        <w:tc>
          <w:tcPr>
            <w:tcW w:type="dxa" w:w="2160"/>
          </w:tcPr>
          <w:p>
            <w:r>
              <w:rPr>
                <w:b/>
              </w:rPr>
              <w:t>Template section(s) it adapts</w:t>
            </w:r>
          </w:p>
        </w:tc>
        <w:tc>
          <w:tcPr>
            <w:tcW w:type="dxa" w:w="2160"/>
          </w:tcPr>
          <w:p>
            <w:r>
              <w:rPr>
                <w:b/>
              </w:rPr>
              <w:t>Covers</w:t>
            </w:r>
          </w:p>
        </w:tc>
      </w:tr>
      <w:tr>
        <w:tc>
          <w:tcPr>
            <w:tcW w:type="dxa" w:w="2160"/>
          </w:tcPr>
          <w:p>
            <w:r>
              <w:t>—</w:t>
            </w:r>
          </w:p>
        </w:tc>
        <w:tc>
          <w:tcPr>
            <w:tcW w:type="dxa" w:w="2160"/>
          </w:tcPr>
          <w:p>
            <w:hyperlink r:id="rId9">
              <w:r>
                <w:rPr>
                  <w:color w:val="0563C1"/>
                  <w:u w:val="single"/>
                </w:rPr>
                <w:t xml:space="preserve">`SRS.md`</w:t>
              </w:r>
            </w:hyperlink>
          </w:p>
        </w:tc>
        <w:tc>
          <w:tcPr>
            <w:tcW w:type="dxa" w:w="2160"/>
          </w:tcPr>
          <w:p>
            <w:r>
              <w:t>§4 (SRS)</w:t>
            </w:r>
          </w:p>
        </w:tc>
        <w:tc>
          <w:tcPr>
            <w:tcW w:type="dxa" w:w="2160"/>
          </w:tcPr>
          <w:p>
            <w:r>
              <w:t xml:space="preserve">Functional/non-functional requirements, data model, API surface — </w:t>
            </w:r>
            <w:r>
              <w:rPr>
                <w:b/>
              </w:rPr>
              <w:t>pre-existing, authoritative for product requirements</w:t>
            </w:r>
            <w:r>
              <w:t>; not rewritten by this pass</w:t>
            </w:r>
          </w:p>
        </w:tc>
      </w:tr>
      <w:tr>
        <w:tc>
          <w:tcPr>
            <w:tcW w:type="dxa" w:w="2160"/>
          </w:tcPr>
          <w:p>
            <w:r>
              <w:t>01</w:t>
            </w:r>
          </w:p>
        </w:tc>
        <w:tc>
          <w:tcPr>
            <w:tcW w:type="dxa" w:w="2160"/>
          </w:tcPr>
          <w:p>
            <w:hyperlink r:id="rId10">
              <w:r>
                <w:rPr>
                  <w:color w:val="0563C1"/>
                  <w:u w:val="single"/>
                </w:rPr>
                <w:t xml:space="preserve">Project Overview</w:t>
              </w:r>
            </w:hyperlink>
          </w:p>
        </w:tc>
        <w:tc>
          <w:tcPr>
            <w:tcW w:type="dxa" w:w="2160"/>
          </w:tcPr>
          <w:p>
            <w:r>
              <w:t>Project Overview</w:t>
            </w:r>
          </w:p>
        </w:tc>
        <w:tc>
          <w:tcPr>
            <w:tcW w:type="dxa" w:w="2160"/>
          </w:tcPr>
          <w:p>
            <w:r>
              <w:t>What ChrisPa is, repo shape, maturity snapshot</w:t>
            </w:r>
          </w:p>
        </w:tc>
      </w:tr>
      <w:tr>
        <w:tc>
          <w:tcPr>
            <w:tcW w:type="dxa" w:w="2160"/>
          </w:tcPr>
          <w:p>
            <w:r>
              <w:t>02</w:t>
            </w:r>
          </w:p>
        </w:tc>
        <w:tc>
          <w:tcPr>
            <w:tcW w:type="dxa" w:w="2160"/>
          </w:tcPr>
          <w:p>
            <w:hyperlink r:id="rId11">
              <w:r>
                <w:rPr>
                  <w:color w:val="0563C1"/>
                  <w:u w:val="single"/>
                </w:rPr>
                <w:t xml:space="preserve">System Architecture</w:t>
              </w:r>
            </w:hyperlink>
          </w:p>
        </w:tc>
        <w:tc>
          <w:tcPr>
            <w:tcW w:type="dxa" w:w="2160"/>
          </w:tcPr>
          <w:p>
            <w:r>
              <w:t>§3 High-Level Architecture</w:t>
            </w:r>
          </w:p>
        </w:tc>
        <w:tc>
          <w:tcPr>
            <w:tcW w:type="dxa" w:w="2160"/>
          </w:tcPr>
          <w:p>
            <w:r>
              <w:t>Real request flow, current vs. target topology</w:t>
            </w:r>
          </w:p>
        </w:tc>
      </w:tr>
      <w:tr>
        <w:tc>
          <w:tcPr>
            <w:tcW w:type="dxa" w:w="2160"/>
          </w:tcPr>
          <w:p>
            <w:r>
              <w:t>03</w:t>
            </w:r>
          </w:p>
        </w:tc>
        <w:tc>
          <w:tcPr>
            <w:tcW w:type="dxa" w:w="2160"/>
          </w:tcPr>
          <w:p>
            <w:hyperlink r:id="rId12">
              <w:r>
                <w:rPr>
                  <w:color w:val="0563C1"/>
                  <w:u w:val="single"/>
                </w:rPr>
                <w:t xml:space="preserve">Database Design</w:t>
              </w:r>
            </w:hyperlink>
          </w:p>
        </w:tc>
        <w:tc>
          <w:tcPr>
            <w:tcW w:type="dxa" w:w="2160"/>
          </w:tcPr>
          <w:p>
            <w:r>
              <w:t>§9 PostgreSQL</w:t>
            </w:r>
          </w:p>
        </w:tc>
        <w:tc>
          <w:tcPr>
            <w:tcW w:type="dxa" w:w="2160"/>
          </w:tcPr>
          <w:p>
            <w:r>
              <w:t>Schema conventions, migrations, seed data, model inventory</w:t>
            </w:r>
          </w:p>
        </w:tc>
      </w:tr>
      <w:tr>
        <w:tc>
          <w:tcPr>
            <w:tcW w:type="dxa" w:w="2160"/>
          </w:tcPr>
          <w:p>
            <w:r>
              <w:t>04</w:t>
            </w:r>
          </w:p>
        </w:tc>
        <w:tc>
          <w:tcPr>
            <w:tcW w:type="dxa" w:w="2160"/>
          </w:tcPr>
          <w:p>
            <w:hyperlink r:id="rId13">
              <w:r>
                <w:rPr>
                  <w:color w:val="0563C1"/>
                  <w:u w:val="single"/>
                </w:rPr>
                <w:t xml:space="preserve">Backend Development</w:t>
              </w:r>
            </w:hyperlink>
          </w:p>
        </w:tc>
        <w:tc>
          <w:tcPr>
            <w:tcW w:type="dxa" w:w="2160"/>
          </w:tcPr>
          <w:p>
            <w:r>
              <w:t>§8 Node.js</w:t>
            </w:r>
          </w:p>
        </w:tc>
        <w:tc>
          <w:tcPr>
            <w:tcW w:type="dxa" w:w="2160"/>
          </w:tcPr>
          <w:p>
            <w:r>
              <w:t>NestJS/Fastify conventions, module layout, logging/error-handling state</w:t>
            </w:r>
          </w:p>
        </w:tc>
      </w:tr>
      <w:tr>
        <w:tc>
          <w:tcPr>
            <w:tcW w:type="dxa" w:w="2160"/>
          </w:tcPr>
          <w:p>
            <w:r>
              <w:t>05</w:t>
            </w:r>
          </w:p>
        </w:tc>
        <w:tc>
          <w:tcPr>
            <w:tcW w:type="dxa" w:w="2160"/>
          </w:tcPr>
          <w:p>
            <w:hyperlink r:id="rId14">
              <w:r>
                <w:rPr>
                  <w:color w:val="0563C1"/>
                  <w:u w:val="single"/>
                </w:rPr>
                <w:t xml:space="preserve">Frontend Architecture</w:t>
              </w:r>
            </w:hyperlink>
          </w:p>
        </w:tc>
        <w:tc>
          <w:tcPr>
            <w:tcW w:type="dxa" w:w="2160"/>
          </w:tcPr>
          <w:p>
            <w:r>
              <w:t>Frontend/Application Architecture</w:t>
            </w:r>
          </w:p>
        </w:tc>
        <w:tc>
          <w:tcPr>
            <w:tcW w:type="dxa" w:w="2160"/>
          </w:tcPr>
          <w:p>
            <w:r>
              <w:t>Next.js 16 route structure, auth pattern, shared tokens</w:t>
            </w:r>
          </w:p>
        </w:tc>
      </w:tr>
      <w:tr>
        <w:tc>
          <w:tcPr>
            <w:tcW w:type="dxa" w:w="2160"/>
          </w:tcPr>
          <w:p>
            <w:r>
              <w:t>06</w:t>
            </w:r>
          </w:p>
        </w:tc>
        <w:tc>
          <w:tcPr>
            <w:tcW w:type="dxa" w:w="2160"/>
          </w:tcPr>
          <w:p>
            <w:hyperlink r:id="rId15">
              <w:r>
                <w:rPr>
                  <w:color w:val="0563C1"/>
                  <w:u w:val="single"/>
                </w:rPr>
                <w:t xml:space="preserve">API Design and Documentation</w:t>
              </w:r>
            </w:hyperlink>
          </w:p>
        </w:tc>
        <w:tc>
          <w:tcPr>
            <w:tcW w:type="dxa" w:w="2160"/>
          </w:tcPr>
          <w:p>
            <w:r>
              <w:t>API Design and Documentation</w:t>
            </w:r>
          </w:p>
        </w:tc>
        <w:tc>
          <w:tcPr>
            <w:tcW w:type="dxa" w:w="2160"/>
          </w:tcPr>
          <w:p>
            <w:r>
              <w:t>Route surface by module, RBAC summary, gap: no OpenAPI spec yet</w:t>
            </w:r>
          </w:p>
        </w:tc>
      </w:tr>
      <w:tr>
        <w:tc>
          <w:tcPr>
            <w:tcW w:type="dxa" w:w="2160"/>
          </w:tcPr>
          <w:p>
            <w:r>
              <w:t>07</w:t>
            </w:r>
          </w:p>
        </w:tc>
        <w:tc>
          <w:tcPr>
            <w:tcW w:type="dxa" w:w="2160"/>
          </w:tcPr>
          <w:p>
            <w:hyperlink r:id="rId16">
              <w:r>
                <w:rPr>
                  <w:color w:val="0563C1"/>
                  <w:u w:val="single"/>
                </w:rPr>
                <w:t xml:space="preserve">Authentication and Authorization</w:t>
              </w:r>
            </w:hyperlink>
          </w:p>
        </w:tc>
        <w:tc>
          <w:tcPr>
            <w:tcW w:type="dxa" w:w="2160"/>
          </w:tcPr>
          <w:p>
            <w:r>
              <w:t>Authentication and Authorization</w:t>
            </w:r>
          </w:p>
        </w:tc>
        <w:tc>
          <w:tcPr>
            <w:tcW w:type="dxa" w:w="2160"/>
          </w:tcPr>
          <w:p>
            <w:r>
              <w:t>JWT, registration OTP (email+SMS), Google sign-in, 2FA/TOTP, WebAuthn, RBAC, forced password reset, department permissions</w:t>
            </w:r>
          </w:p>
        </w:tc>
      </w:tr>
      <w:tr>
        <w:tc>
          <w:tcPr>
            <w:tcW w:type="dxa" w:w="2160"/>
          </w:tcPr>
          <w:p>
            <w:r>
              <w:t>08</w:t>
            </w:r>
          </w:p>
        </w:tc>
        <w:tc>
          <w:tcPr>
            <w:tcW w:type="dxa" w:w="2160"/>
          </w:tcPr>
          <w:p>
            <w:hyperlink r:id="rId17">
              <w:r>
                <w:rPr>
                  <w:color w:val="0563C1"/>
                  <w:u w:val="single"/>
                </w:rPr>
                <w:t xml:space="preserve">Source Code Management and CI/CD</w:t>
              </w:r>
            </w:hyperlink>
          </w:p>
        </w:tc>
        <w:tc>
          <w:tcPr>
            <w:tcW w:type="dxa" w:w="2160"/>
          </w:tcPr>
          <w:p>
            <w:r>
              <w:t>§6 GitLab, §7 CI/CD</w:t>
            </w:r>
          </w:p>
        </w:tc>
        <w:tc>
          <w:tcPr>
            <w:tcW w:type="dxa" w:w="2160"/>
          </w:tcPr>
          <w:p>
            <w:r>
              <w:t>Current state (no remote/CI), recommended pipeline once one exists</w:t>
            </w:r>
          </w:p>
        </w:tc>
      </w:tr>
      <w:tr>
        <w:tc>
          <w:tcPr>
            <w:tcW w:type="dxa" w:w="2160"/>
          </w:tcPr>
          <w:p>
            <w:r>
              <w:t>09</w:t>
            </w:r>
          </w:p>
        </w:tc>
        <w:tc>
          <w:tcPr>
            <w:tcW w:type="dxa" w:w="2160"/>
          </w:tcPr>
          <w:p>
            <w:hyperlink r:id="rId18">
              <w:r>
                <w:rPr>
                  <w:color w:val="0563C1"/>
                  <w:u w:val="single"/>
                </w:rPr>
                <w:t xml:space="preserve">Containerization and Environments</w:t>
              </w:r>
            </w:hyperlink>
          </w:p>
        </w:tc>
        <w:tc>
          <w:tcPr>
            <w:tcW w:type="dxa" w:w="2160"/>
          </w:tcPr>
          <w:p>
            <w:r>
              <w:t>§10 Docker, §21 Environments</w:t>
            </w:r>
          </w:p>
        </w:tc>
        <w:tc>
          <w:tcPr>
            <w:tcW w:type="dxa" w:w="2160"/>
          </w:tcPr>
          <w:p>
            <w:r>
              <w:rPr>
                <w:rFonts w:ascii="Consolas" w:hAnsi="Consolas"/>
                <w:sz w:val="20"/>
              </w:rPr>
              <w:t>docker-compose.yml</w:t>
            </w:r>
            <w:r>
              <w:t xml:space="preserve"> reality, dev/staging/prod strategy</w:t>
            </w:r>
          </w:p>
        </w:tc>
      </w:tr>
      <w:tr>
        <w:tc>
          <w:tcPr>
            <w:tcW w:type="dxa" w:w="2160"/>
          </w:tcPr>
          <w:p>
            <w:r>
              <w:t>10</w:t>
            </w:r>
          </w:p>
        </w:tc>
        <w:tc>
          <w:tcPr>
            <w:tcW w:type="dxa" w:w="2160"/>
          </w:tcPr>
          <w:p>
            <w:hyperlink r:id="rId19">
              <w:r>
                <w:rPr>
                  <w:color w:val="0563C1"/>
                  <w:u w:val="single"/>
                </w:rPr>
                <w:t xml:space="preserve">Security Architecture</w:t>
              </w:r>
            </w:hyperlink>
          </w:p>
        </w:tc>
        <w:tc>
          <w:tcPr>
            <w:tcW w:type="dxa" w:w="2160"/>
          </w:tcPr>
          <w:p>
            <w:r>
              <w:t>§20 Security Architecture</w:t>
            </w:r>
          </w:p>
        </w:tc>
        <w:tc>
          <w:tcPr>
            <w:tcW w:type="dxa" w:w="2160"/>
          </w:tcPr>
          <w:p>
            <w:r>
              <w:t>What's real, gaps against the template checklist</w:t>
            </w:r>
          </w:p>
        </w:tc>
      </w:tr>
      <w:tr>
        <w:tc>
          <w:tcPr>
            <w:tcW w:type="dxa" w:w="2160"/>
          </w:tcPr>
          <w:p>
            <w:r>
              <w:t>11</w:t>
            </w:r>
          </w:p>
        </w:tc>
        <w:tc>
          <w:tcPr>
            <w:tcW w:type="dxa" w:w="2160"/>
          </w:tcPr>
          <w:p>
            <w:hyperlink r:id="rId20">
              <w:r>
                <w:rPr>
                  <w:color w:val="0563C1"/>
                  <w:u w:val="single"/>
                </w:rPr>
                <w:t xml:space="preserve">Deployment and Configuration Management</w:t>
              </w:r>
            </w:hyperlink>
          </w:p>
        </w:tc>
        <w:tc>
          <w:tcPr>
            <w:tcW w:type="dxa" w:w="2160"/>
          </w:tcPr>
          <w:p>
            <w:r>
              <w:t>§22 Deployment, §23 Rollback</w:t>
            </w:r>
          </w:p>
        </w:tc>
        <w:tc>
          <w:tcPr>
            <w:tcW w:type="dxa" w:w="2160"/>
          </w:tcPr>
          <w:p>
            <w:r>
              <w:t>Local "deployment" today, recommended procedure</w:t>
            </w:r>
          </w:p>
        </w:tc>
      </w:tr>
      <w:tr>
        <w:tc>
          <w:tcPr>
            <w:tcW w:type="dxa" w:w="2160"/>
          </w:tcPr>
          <w:p>
            <w:r>
              <w:t>12</w:t>
            </w:r>
          </w:p>
        </w:tc>
        <w:tc>
          <w:tcPr>
            <w:tcW w:type="dxa" w:w="2160"/>
          </w:tcPr>
          <w:p>
            <w:hyperlink r:id="rId21">
              <w:r>
                <w:rPr>
                  <w:color w:val="0563C1"/>
                  <w:u w:val="single"/>
                </w:rPr>
                <w:t xml:space="preserve">Observability and Monitoring</w:t>
              </w:r>
            </w:hyperlink>
          </w:p>
        </w:tc>
        <w:tc>
          <w:tcPr>
            <w:tcW w:type="dxa" w:w="2160"/>
          </w:tcPr>
          <w:p>
            <w:r>
              <w:t>§18 Checkmk, §31 Observability</w:t>
            </w:r>
          </w:p>
        </w:tc>
        <w:tc>
          <w:tcPr>
            <w:tcW w:type="dxa" w:w="2160"/>
          </w:tcPr>
          <w:p>
            <w:r>
              <w:t>Metrics/traces/logs gap, sequenced adoption plan</w:t>
            </w:r>
          </w:p>
        </w:tc>
      </w:tr>
      <w:tr>
        <w:tc>
          <w:tcPr>
            <w:tcW w:type="dxa" w:w="2160"/>
          </w:tcPr>
          <w:p>
            <w:r>
              <w:t>13</w:t>
            </w:r>
          </w:p>
        </w:tc>
        <w:tc>
          <w:tcPr>
            <w:tcW w:type="dxa" w:w="2160"/>
          </w:tcPr>
          <w:p>
            <w:hyperlink r:id="rId22">
              <w:r>
                <w:rPr>
                  <w:color w:val="0563C1"/>
                  <w:u w:val="single"/>
                </w:rPr>
                <w:t xml:space="preserve">Incident Response and Troubleshooting</w:t>
              </w:r>
            </w:hyperlink>
          </w:p>
        </w:tc>
        <w:tc>
          <w:tcPr>
            <w:tcW w:type="dxa" w:w="2160"/>
          </w:tcPr>
          <w:p>
            <w:r>
              <w:t>§27 Incident Management</w:t>
            </w:r>
          </w:p>
        </w:tc>
        <w:tc>
          <w:tcPr>
            <w:tcW w:type="dxa" w:w="2160"/>
          </w:tcPr>
          <w:p>
            <w:r>
              <w:t>Steps, local troubleshooting reference</w:t>
            </w:r>
          </w:p>
        </w:tc>
      </w:tr>
      <w:tr>
        <w:tc>
          <w:tcPr>
            <w:tcW w:type="dxa" w:w="2160"/>
          </w:tcPr>
          <w:p>
            <w:r>
              <w:t>14</w:t>
            </w:r>
          </w:p>
        </w:tc>
        <w:tc>
          <w:tcPr>
            <w:tcW w:type="dxa" w:w="2160"/>
          </w:tcPr>
          <w:p>
            <w:hyperlink r:id="rId23">
              <w:r>
                <w:rPr>
                  <w:color w:val="0563C1"/>
                  <w:u w:val="single"/>
                </w:rPr>
                <w:t xml:space="preserve">Maintenance and Upgrade Procedures</w:t>
              </w:r>
            </w:hyperlink>
          </w:p>
        </w:tc>
        <w:tc>
          <w:tcPr>
            <w:tcW w:type="dxa" w:w="2160"/>
          </w:tcPr>
          <w:p>
            <w:r>
              <w:t>§24 Operational Checklists</w:t>
            </w:r>
          </w:p>
        </w:tc>
        <w:tc>
          <w:tcPr>
            <w:tcW w:type="dxa" w:w="2160"/>
          </w:tcPr>
          <w:p>
            <w:r>
              <w:t>Dependency/platform upgrade practice</w:t>
            </w:r>
          </w:p>
        </w:tc>
      </w:tr>
      <w:tr>
        <w:tc>
          <w:tcPr>
            <w:tcW w:type="dxa" w:w="2160"/>
          </w:tcPr>
          <w:p>
            <w:r>
              <w:t>15</w:t>
            </w:r>
          </w:p>
        </w:tc>
        <w:tc>
          <w:tcPr>
            <w:tcW w:type="dxa" w:w="2160"/>
          </w:tcPr>
          <w:p>
            <w:hyperlink r:id="rId24">
              <w:r>
                <w:rPr>
                  <w:color w:val="0563C1"/>
                  <w:u w:val="single"/>
                </w:rPr>
                <w:t xml:space="preserve">Disaster Recovery</w:t>
              </w:r>
            </w:hyperlink>
          </w:p>
        </w:tc>
        <w:tc>
          <w:tcPr>
            <w:tcW w:type="dxa" w:w="2160"/>
          </w:tcPr>
          <w:p>
            <w:r>
              <w:t>§19 Backup/DR, §28 DR Priorities</w:t>
            </w:r>
          </w:p>
        </w:tc>
        <w:tc>
          <w:tcPr>
            <w:tcW w:type="dxa" w:w="2160"/>
          </w:tcPr>
          <w:p>
            <w:r>
              <w:t xml:space="preserve">No-backups gap, recommended </w:t>
            </w:r>
            <w:r>
              <w:rPr>
                <w:rFonts w:ascii="Consolas" w:hAnsi="Consolas"/>
                <w:sz w:val="20"/>
              </w:rPr>
              <w:t>pg_dump</w:t>
            </w:r>
            <w:r>
              <w:t xml:space="preserve"> approach, priority order</w:t>
            </w:r>
          </w:p>
        </w:tc>
      </w:tr>
      <w:tr>
        <w:tc>
          <w:tcPr>
            <w:tcW w:type="dxa" w:w="2160"/>
          </w:tcPr>
          <w:p>
            <w:r>
              <w:t>16</w:t>
            </w:r>
          </w:p>
        </w:tc>
        <w:tc>
          <w:tcPr>
            <w:tcW w:type="dxa" w:w="2160"/>
          </w:tcPr>
          <w:p>
            <w:hyperlink r:id="rId25">
              <w:r>
                <w:rPr>
                  <w:color w:val="0563C1"/>
                  <w:u w:val="single"/>
                </w:rPr>
                <w:t xml:space="preserve">User and Administrator Procedures</w:t>
              </w:r>
            </w:hyperlink>
          </w:p>
        </w:tc>
        <w:tc>
          <w:tcPr>
            <w:tcW w:type="dxa" w:w="2160"/>
          </w:tcPr>
          <w:p>
            <w:r>
              <w:t>User and Administrator Procedures</w:t>
            </w:r>
          </w:p>
        </w:tc>
        <w:tc>
          <w:tcPr>
            <w:tcW w:type="dxa" w:w="2160"/>
          </w:tcPr>
          <w:p>
            <w:r>
              <w:t>Practical runbook: setup, access grants, common admin ops</w:t>
            </w:r>
          </w:p>
        </w:tc>
      </w:tr>
      <w:tr>
        <w:tc>
          <w:tcPr>
            <w:tcW w:type="dxa" w:w="2160"/>
          </w:tcPr>
          <w:p>
            <w:r>
              <w:t>17</w:t>
            </w:r>
          </w:p>
        </w:tc>
        <w:tc>
          <w:tcPr>
            <w:tcW w:type="dxa" w:w="2160"/>
          </w:tcPr>
          <w:p>
            <w:hyperlink r:id="rId26">
              <w:r>
                <w:rPr>
                  <w:color w:val="0563C1"/>
                  <w:u w:val="single"/>
                </w:rPr>
                <w:t xml:space="preserve">Infrastructure Platform Roadmap</w:t>
              </w:r>
            </w:hyperlink>
          </w:p>
        </w:tc>
        <w:tc>
          <w:tcPr>
            <w:tcW w:type="dxa" w:w="2160"/>
          </w:tcPr>
          <w:p>
            <w:r>
              <w:t>§12–17 (Ansible, WireGuard, Traefik, LXC, iRedMail, Zulip, Pi-hole, Nextcloud, Checkmk, Borg)</w:t>
            </w:r>
          </w:p>
        </w:tc>
        <w:tc>
          <w:tcPr>
            <w:tcW w:type="dxa" w:w="2160"/>
          </w:tcPr>
          <w:p>
            <w:r>
              <w:t>Tool-by-tool: not adopted, why, and the trigger to revisit</w:t>
            </w:r>
          </w:p>
        </w:tc>
      </w:tr>
      <w:tr>
        <w:tc>
          <w:tcPr>
            <w:tcW w:type="dxa" w:w="2160"/>
          </w:tcPr>
          <w:p>
            <w:r>
              <w:t>18</w:t>
            </w:r>
          </w:p>
        </w:tc>
        <w:tc>
          <w:tcPr>
            <w:tcW w:type="dxa" w:w="2160"/>
          </w:tcPr>
          <w:p>
            <w:hyperlink r:id="rId27">
              <w:r>
                <w:rPr>
                  <w:color w:val="0563C1"/>
                  <w:u w:val="single"/>
                </w:rPr>
                <w:t xml:space="preserve">Appendices</w:t>
              </w:r>
            </w:hyperlink>
          </w:p>
        </w:tc>
        <w:tc>
          <w:tcPr>
            <w:tcW w:type="dxa" w:w="2160"/>
          </w:tcPr>
          <w:p>
            <w:r>
              <w:t>Appendices</w:t>
            </w:r>
          </w:p>
        </w:tc>
        <w:tc>
          <w:tcPr>
            <w:tcW w:type="dxa" w:w="2160"/>
          </w:tcPr>
          <w:p>
            <w:r>
              <w:t>Command reference, directory structure, env vars, consolidated checklist</w:t>
            </w:r>
          </w:p>
        </w:tc>
      </w:tr>
      <w:tr>
        <w:tc>
          <w:tcPr>
            <w:tcW w:type="dxa" w:w="2160"/>
          </w:tcPr>
          <w:p>
            <w:r>
              <w:t>19</w:t>
            </w:r>
          </w:p>
        </w:tc>
        <w:tc>
          <w:tcPr>
            <w:tcW w:type="dxa" w:w="2160"/>
          </w:tcPr>
          <w:p>
            <w:hyperlink r:id="rId28">
              <w:r>
                <w:rPr>
                  <w:color w:val="0563C1"/>
                  <w:u w:val="single"/>
                </w:rPr>
                <w:t xml:space="preserve">Storefront User Manual</w:t>
              </w:r>
            </w:hyperlink>
          </w:p>
        </w:tc>
        <w:tc>
          <w:tcPr>
            <w:tcW w:type="dxa" w:w="2160"/>
          </w:tcPr>
          <w:p>
            <w:r>
              <w:t>— (not a template section; a genuine end-user guide)</w:t>
            </w:r>
          </w:p>
        </w:tc>
        <w:tc>
          <w:tcPr>
            <w:tcW w:type="dxa" w:w="2160"/>
          </w:tcPr>
          <w:p>
            <w:r>
              <w:t>How a customer actually uses the storefront — accounts, browsing/filters, cart/checkout, orders/receipts, account settings, getting help</w:t>
            </w:r>
          </w:p>
        </w:tc>
      </w:tr>
      <w:tr>
        <w:tc>
          <w:tcPr>
            <w:tcW w:type="dxa" w:w="2160"/>
          </w:tcPr>
          <w:p>
            <w:r>
              <w:t>20</w:t>
            </w:r>
          </w:p>
        </w:tc>
        <w:tc>
          <w:tcPr>
            <w:tcW w:type="dxa" w:w="2160"/>
          </w:tcPr>
          <w:p>
            <w:hyperlink r:id="rId29">
              <w:r>
                <w:rPr>
                  <w:color w:val="0563C1"/>
                  <w:u w:val="single"/>
                </w:rPr>
                <w:t xml:space="preserve">Administrator User Manual</w:t>
              </w:r>
            </w:hyperlink>
          </w:p>
        </w:tc>
        <w:tc>
          <w:tcPr>
            <w:tcW w:type="dxa" w:w="2160"/>
          </w:tcPr>
          <w:p>
            <w:r>
              <w:t>— (not a template section; a genuine end-user guide)</w:t>
            </w:r>
          </w:p>
        </w:tc>
        <w:tc>
          <w:tcPr>
            <w:tcW w:type="dxa" w:w="2160"/>
          </w:tcPr>
          <w:p>
            <w:r>
              <w:t>How staff actually use the admin console, organized by role — every section from Product Manager through Financial &amp; Accounting</w:t>
            </w:r>
          </w:p>
        </w:tc>
      </w:tr>
    </w:tbl>
    <w:p>
      <w:pPr>
        <w:pStyle w:val="Heading2"/>
      </w:pPr>
      <w:r>
        <w:t>Cross-cutting themes (appear in multiple documents — read once, applies everywhere)</w:t>
      </w:r>
    </w:p>
    <w:p>
      <w:pPr>
        <w:pStyle w:val="ListBullet"/>
      </w:pPr>
      <w:r>
        <w:rPr>
          <w:b/>
        </w:rPr>
        <w:t>Production exists now</w:t>
      </w:r>
      <w:r>
        <w:t xml:space="preserve"> — </w:t>
      </w:r>
      <w:r>
        <w:rPr>
          <w:rFonts w:ascii="Consolas" w:hAnsi="Consolas"/>
          <w:sz w:val="20"/>
        </w:rPr>
        <w:t>api</w:t>
      </w:r>
      <w:r>
        <w:t xml:space="preserve"> (Render), </w:t>
      </w:r>
      <w:r>
        <w:rPr>
          <w:rFonts w:ascii="Consolas" w:hAnsi="Consolas"/>
          <w:sz w:val="20"/>
        </w:rPr>
        <w:t>storefront</w:t>
      </w:r>
      <w:r>
        <w:t xml:space="preserve">, and </w:t>
      </w:r>
      <w:r>
        <w:rPr>
          <w:rFonts w:ascii="Consolas" w:hAnsi="Consolas"/>
          <w:sz w:val="20"/>
        </w:rPr>
        <w:t>admin</w:t>
      </w:r>
      <w:r>
        <w:t xml:space="preserve"> (both Netlify) are live and auto-deploy on push to </w:t>
      </w:r>
      <w:r>
        <w:rPr>
          <w:rFonts w:ascii="Consolas" w:hAnsi="Consolas"/>
          <w:sz w:val="20"/>
        </w:rPr>
        <w:t>main</w:t>
      </w:r>
      <w:r>
        <w:t xml:space="preserve">; see </w:t>
      </w:r>
      <w:hyperlink r:id="rId20">
        <w:r>
          <w:rPr>
            <w:color w:val="0563C1"/>
            <w:u w:val="single"/>
          </w:rPr>
          <w:t xml:space="preserve">`11`</w:t>
        </w:r>
      </w:hyperlink>
      <w:r>
        <w:t xml:space="preserve"> for URLs and config, </w:t>
      </w:r>
      <w:hyperlink r:id="rId11">
        <w:r>
          <w:rPr>
            <w:color w:val="0563C1"/>
            <w:u w:val="single"/>
          </w:rPr>
          <w:t xml:space="preserve">`02`</w:t>
        </w:r>
      </w:hyperlink>
      <w:r>
        <w:t xml:space="preserve"> for the topology. No </w:t>
      </w:r>
      <w:r>
        <w:rPr>
          <w:b/>
        </w:rPr>
        <w:t>staging</w:t>
      </w:r>
      <w:r>
        <w:t xml:space="preserve"> environment exists yet, and no CI pipeline gates the auto-deploy — those two gaps, plus monitoring/backups, are what the remaining "not implemented" markers throughout this doc set actually refer to now, not the absence of production itself. Two real production issues are open: registration OTP delivery is non-functional (no SMTP/SMS provider configured — see </w:t>
      </w:r>
      <w:hyperlink r:id="rId16">
        <w:r>
          <w:rPr>
            <w:color w:val="0563C1"/>
            <w:u w:val="single"/>
          </w:rPr>
          <w:t xml:space="preserve">`07`</w:t>
        </w:r>
      </w:hyperlink>
      <w:r>
        <w:t xml:space="preserve"> and </w:t>
      </w:r>
      <w:hyperlink r:id="rId22">
        <w:r>
          <w:rPr>
            <w:color w:val="0563C1"/>
            <w:u w:val="single"/>
          </w:rPr>
          <w:t xml:space="preserve">`13`</w:t>
        </w:r>
      </w:hyperlink>
      <w:r>
        <w:t xml:space="preserve">), and the free-tier Postgres instance expires 90 days after creation unless upgraded (see </w:t>
      </w:r>
      <w:hyperlink r:id="rId20">
        <w:r>
          <w:rPr>
            <w:color w:val="0563C1"/>
            <w:u w:val="single"/>
          </w:rPr>
          <w:t xml:space="preserve">`11`</w:t>
        </w:r>
      </w:hyperlink>
      <w:r>
        <w:t>).</w:t>
      </w:r>
    </w:p>
    <w:p>
      <w:pPr>
        <w:pStyle w:val="ListBullet"/>
      </w:pPr>
      <w:r>
        <w:rPr>
          <w:b/>
        </w:rPr>
        <w:t xml:space="preserve">The </w:t>
      </w:r>
      <w:r>
        <w:rPr>
          <w:rFonts w:ascii="Consolas" w:hAnsi="Consolas"/>
          <w:b/>
          <w:sz w:val="20"/>
        </w:rPr>
        <w:t>tx</w:t>
      </w:r>
      <w:r>
        <w:rPr>
          <w:b/>
        </w:rPr>
        <w:t>-passthrough transaction pattern</w:t>
      </w:r>
      <w:r>
        <w:t xml:space="preserve"> (</w:t>
      </w:r>
      <w:r>
        <w:rPr>
          <w:rFonts w:ascii="Consolas" w:hAnsi="Consolas"/>
          <w:sz w:val="20"/>
        </w:rPr>
        <w:t>CatalogService.getByIdForAdmin()</w:t>
      </w:r>
      <w:r>
        <w:t xml:space="preserve">, </w:t>
      </w:r>
      <w:r>
        <w:rPr>
          <w:rFonts w:ascii="Consolas" w:hAnsi="Consolas"/>
          <w:sz w:val="20"/>
        </w:rPr>
        <w:t>EmployeesService.getById()</w:t>
      </w:r>
      <w:r>
        <w:t xml:space="preserve">) is a real, previously-hit bug class — see </w:t>
      </w:r>
      <w:hyperlink r:id="rId13">
        <w:r>
          <w:rPr>
            <w:color w:val="0563C1"/>
            <w:u w:val="single"/>
          </w:rPr>
          <w:t xml:space="preserve">`04`</w:t>
        </w:r>
      </w:hyperlink>
      <w:r>
        <w:t xml:space="preserve"> and </w:t>
      </w:r>
      <w:r>
        <w:rPr>
          <w:rFonts w:ascii="Consolas" w:hAnsi="Consolas"/>
          <w:sz w:val="20"/>
        </w:rPr>
        <w:t>CLAUDE.md</w:t>
      </w:r>
      <w:r>
        <w:t>.</w:t>
      </w:r>
    </w:p>
    <w:p>
      <w:pPr>
        <w:pStyle w:val="ListBullet"/>
      </w:pPr>
      <w:r>
        <w:rPr>
          <w:b/>
        </w:rPr>
        <w:t>Ownership-scoped self-service</w:t>
      </w:r>
      <w:r>
        <w:t xml:space="preserve"> (wishlist, addresses, payment methods, HR self-service) is a consistently applied, verified pattern — see </w:t>
      </w:r>
      <w:hyperlink r:id="rId16">
        <w:r>
          <w:rPr>
            <w:color w:val="0563C1"/>
            <w:u w:val="single"/>
          </w:rPr>
          <w:t xml:space="preserve">`07`</w:t>
        </w:r>
      </w:hyperlink>
      <w:r>
        <w:t>.</w:t>
      </w:r>
    </w:p>
    <w:p>
      <w:pPr>
        <w:pStyle w:val="ListBullet"/>
      </w:pPr>
      <w:r>
        <w:rPr>
          <w:b/>
        </w:rPr>
        <w:t>Unified activity/audit log</w:t>
      </w:r>
      <w:r>
        <w:t xml:space="preserve"> (</w:t>
      </w:r>
      <w:r>
        <w:rPr>
          <w:rFonts w:ascii="Consolas" w:hAnsi="Consolas"/>
          <w:sz w:val="20"/>
        </w:rPr>
        <w:t>ActivityLog</w:t>
      </w:r>
      <w:r>
        <w:t xml:space="preserve">, </w:t>
      </w:r>
      <w:r>
        <w:rPr>
          <w:rFonts w:ascii="Consolas" w:hAnsi="Consolas"/>
          <w:sz w:val="20"/>
        </w:rPr>
        <w:t>docs/SRS.md</w:t>
      </w:r>
      <w:r>
        <w:t xml:space="preserve"> §19) covers both customer and staff actions — logins, checkout, product/order/employee writes — viewable Owner-only at Admin/Backend → Activity Log. Each row resolves the actor's full name and HR department at read time (AL-FR-5). Wired into a representative cross-section of write paths, not every mutation; see </w:t>
      </w:r>
      <w:hyperlink r:id="rId12">
        <w:r>
          <w:rPr>
            <w:color w:val="0563C1"/>
            <w:u w:val="single"/>
          </w:rPr>
          <w:t xml:space="preserve">`03`</w:t>
        </w:r>
      </w:hyperlink>
      <w:r>
        <w:t xml:space="preserve">, </w:t>
      </w:r>
      <w:hyperlink r:id="rId15">
        <w:r>
          <w:rPr>
            <w:color w:val="0563C1"/>
            <w:u w:val="single"/>
          </w:rPr>
          <w:t xml:space="preserve">`06`</w:t>
        </w:r>
      </w:hyperlink>
      <w:r>
        <w:t xml:space="preserve">, </w:t>
      </w:r>
      <w:hyperlink r:id="rId19">
        <w:r>
          <w:rPr>
            <w:color w:val="0563C1"/>
            <w:u w:val="single"/>
          </w:rPr>
          <w:t xml:space="preserve">`10`</w:t>
        </w:r>
      </w:hyperlink>
      <w:r>
        <w:t xml:space="preserve">, and </w:t>
      </w:r>
      <w:hyperlink r:id="rId25">
        <w:r>
          <w:rPr>
            <w:color w:val="0563C1"/>
            <w:u w:val="single"/>
          </w:rPr>
          <w:t xml:space="preserve">`16`</w:t>
        </w:r>
      </w:hyperlink>
      <w:r>
        <w:t>.</w:t>
      </w:r>
    </w:p>
    <w:p>
      <w:pPr>
        <w:pStyle w:val="ListBullet"/>
      </w:pPr>
      <w:r>
        <w:rPr>
          <w:b/>
        </w:rPr>
        <w:t>Multi-entity Financial &amp; Accounting Management</w:t>
      </w:r>
      <w:r>
        <w:t xml:space="preserve"> (</w:t>
      </w:r>
      <w:r>
        <w:rPr>
          <w:rFonts w:ascii="Consolas" w:hAnsi="Consolas"/>
          <w:sz w:val="20"/>
        </w:rPr>
        <w:t>docs/SRS.md</w:t>
      </w:r>
      <w:r>
        <w:t xml:space="preserve"> §20) — its own top-level admin console nav section (alongside Admin/Backend, Human Resources, and My HR, not nested inside any of them) — a real double-entry ledger across ChrisPa's corporate group (parent + subsidiaries), with consolidated Balance Sheet/Income Statement/Cash Flow reporting and intercompany automation (management-fee allocation, due-to/due-from tracking, eliminations). Owner-only, financial software with real consequences — see the module header comment in </w:t>
      </w:r>
      <w:r>
        <w:rPr>
          <w:rFonts w:ascii="Consolas" w:hAnsi="Consolas"/>
          <w:sz w:val="20"/>
        </w:rPr>
        <w:t>apps/api/src/modules/finance</w:t>
      </w:r>
      <w:r>
        <w:t xml:space="preserve"> and </w:t>
      </w:r>
      <w:r>
        <w:rPr>
          <w:rFonts w:ascii="Consolas" w:hAnsi="Consolas"/>
          <w:sz w:val="20"/>
        </w:rPr>
        <w:t>docs/SRS.md</w:t>
      </w:r>
      <w:r>
        <w:t xml:space="preserve"> §20 for exactly what's simplified vs. real.</w:t>
      </w:r>
    </w:p>
    <w:p>
      <w:pPr>
        <w:pStyle w:val="ListBullet"/>
      </w:pPr>
      <w:r>
        <w:rPr>
          <w:b/>
        </w:rPr>
        <w:t>Marketplace, Payments &amp; Tax</w:t>
      </w:r>
      <w:r>
        <w:t xml:space="preserve"> (</w:t>
      </w:r>
      <w:r>
        <w:rPr>
          <w:rFonts w:ascii="Consolas" w:hAnsi="Consolas"/>
          <w:sz w:val="20"/>
        </w:rPr>
        <w:t>docs/SRS.md</w:t>
      </w:r>
      <w:r>
        <w:t xml:space="preserve"> §21) — ChrisPa is a confirmed multi-vendor marketplace: vendor commission splits (net/agent method), a real Flutterwave gateway integration (not exercised against a live sandbox in this session — no real credentials were provided), Uganda VAT (18%, single-jurisdiction by confirmed scope), and accrual-basis revenue recognition auto-posted from checkout/order-delivery/payment events into the Finance ledger built in §20. Verified live against the running API, including catching and fixing a real bug (a zero-amount ledger line for an all-vendor-items order) during this build — see §21.6.</w:t>
      </w:r>
    </w:p>
    <w:p>
      <w:pPr>
        <w:pStyle w:val="ListBullet"/>
      </w:pPr>
      <w:r>
        <w:rPr>
          <w:b/>
        </w:rPr>
        <w:t>ChrisPa Agent</w:t>
      </w:r>
      <w:r>
        <w:t xml:space="preserve"> (</w:t>
      </w:r>
      <w:r>
        <w:rPr>
          <w:rFonts w:ascii="Consolas" w:hAnsi="Consolas"/>
          <w:sz w:val="20"/>
        </w:rPr>
        <w:t>docs/SRS.md</w:t>
      </w:r>
      <w:r>
        <w:t xml:space="preserve"> FR-7.1) — the storefront Support page's Live Chat is now real (</w:t>
      </w:r>
      <w:r>
        <w:rPr>
          <w:rFonts w:ascii="Consolas" w:hAnsi="Consolas"/>
          <w:sz w:val="20"/>
        </w:rPr>
        <w:t>POST /chat/message</w:t>
      </w:r>
      <w:r>
        <w:t xml:space="preserve">, public), not the previous static "coming soon" placeholder, and appears as an avatar-and-name persona ("ChrisPa Agent", styled after the site header's logo mark) rather than the wireframe's original "Pa" placeholder name. Built twice: an initial Claude-API-backed version, then deliberately replaced with a </w:t>
      </w:r>
      <w:r>
        <w:rPr>
          <w:b/>
        </w:rPr>
        <w:t>basic, keyword-matched FAQ bot</w:t>
      </w:r>
      <w:r>
        <w:t xml:space="preserve"> — no LLM, no external API, no credentials, no cost — per explicit user decision to trade conversational range for zero setup/ongoing cost. Still general help/FAQ only, still no access to customer/order/account data, still no conversation persistence.</w:t>
      </w:r>
    </w:p>
    <w:p>
      <w:pPr>
        <w:pStyle w:val="ListBullet"/>
      </w:pPr>
      <w:r>
        <w:rPr>
          <w:b/>
        </w:rPr>
        <w:t>Support Ticket review &amp; response</w:t>
      </w:r>
      <w:r>
        <w:t xml:space="preserve"> (</w:t>
      </w:r>
      <w:r>
        <w:rPr>
          <w:rFonts w:ascii="Consolas" w:hAnsi="Consolas"/>
          <w:sz w:val="20"/>
        </w:rPr>
        <w:t>docs/SRS.md</w:t>
      </w:r>
      <w:r>
        <w:t xml:space="preserve"> FR-7.4) — staff (</w:t>
      </w:r>
      <w:r>
        <w:rPr>
          <w:rFonts w:ascii="Consolas" w:hAnsi="Consolas"/>
          <w:sz w:val="20"/>
        </w:rPr>
        <w:t>Owner</w:t>
      </w:r>
      <w:r>
        <w:t>/</w:t>
      </w:r>
      <w:r>
        <w:rPr>
          <w:rFonts w:ascii="Consolas" w:hAnsi="Consolas"/>
          <w:sz w:val="20"/>
        </w:rPr>
        <w:t>Store Manager</w:t>
      </w:r>
      <w:r>
        <w:t>/</w:t>
      </w:r>
      <w:r>
        <w:rPr>
          <w:rFonts w:ascii="Consolas" w:hAnsi="Consolas"/>
          <w:sz w:val="20"/>
        </w:rPr>
        <w:t>Support Agent</w:t>
      </w:r>
      <w:r>
        <w:t xml:space="preserve">) can now see and respond to customer support tickets at Admin → </w:t>
      </w:r>
      <w:r>
        <w:rPr>
          <w:b/>
        </w:rPr>
        <w:t>Support Tickets</w:t>
      </w:r>
      <w:r>
        <w:t>, not just receive the FR-7.3 submission with nowhere for it to go. A real threaded conversation (</w:t>
      </w:r>
      <w:r>
        <w:rPr>
          <w:rFonts w:ascii="Consolas" w:hAnsi="Consolas"/>
          <w:sz w:val="20"/>
        </w:rPr>
        <w:t>TicketMessage</w:t>
      </w:r>
      <w:r>
        <w:t xml:space="preserve">, either side can post), not a single overwritable response field — the first staff reply to an </w:t>
      </w:r>
      <w:r>
        <w:rPr>
          <w:rFonts w:ascii="Consolas" w:hAnsi="Consolas"/>
          <w:sz w:val="20"/>
        </w:rPr>
        <w:t>OPEN</w:t>
      </w:r>
      <w:r>
        <w:t xml:space="preserve"> ticket auto-advances it to </w:t>
      </w:r>
      <w:r>
        <w:rPr>
          <w:rFonts w:ascii="Consolas" w:hAnsi="Consolas"/>
          <w:sz w:val="20"/>
        </w:rPr>
        <w:t>IN_PROGRESS</w:t>
      </w:r>
      <w:r>
        <w:t xml:space="preserve">, and a </w:t>
      </w:r>
      <w:r>
        <w:rPr>
          <w:rFonts w:ascii="Consolas" w:hAnsi="Consolas"/>
          <w:sz w:val="20"/>
        </w:rPr>
        <w:t>CLOSED</w:t>
      </w:r>
      <w:r>
        <w:t xml:space="preserve"> ticket is a hard stop for new messages from either side. First real use of the </w:t>
      </w:r>
      <w:r>
        <w:rPr>
          <w:rFonts w:ascii="Consolas" w:hAnsi="Consolas"/>
          <w:sz w:val="20"/>
        </w:rPr>
        <w:t>SUPPORT_AGENT</w:t>
      </w:r>
      <w:r>
        <w:t xml:space="preserve"> role, which existed in </w:t>
      </w:r>
      <w:r>
        <w:rPr>
          <w:rFonts w:ascii="Consolas" w:hAnsi="Consolas"/>
          <w:sz w:val="20"/>
        </w:rPr>
        <w:t>UserRole</w:t>
      </w:r>
      <w:r>
        <w:t xml:space="preserve"> from the start with no endpoint gated to it until now — see </w:t>
      </w:r>
      <w:hyperlink r:id="rId12">
        <w:r>
          <w:rPr>
            <w:color w:val="0563C1"/>
            <w:u w:val="single"/>
          </w:rPr>
          <w:t xml:space="preserve">`03`</w:t>
        </w:r>
      </w:hyperlink>
      <w:r>
        <w:t xml:space="preserve">, </w:t>
      </w:r>
      <w:hyperlink r:id="rId15">
        <w:r>
          <w:rPr>
            <w:color w:val="0563C1"/>
            <w:u w:val="single"/>
          </w:rPr>
          <w:t xml:space="preserve">`06`</w:t>
        </w:r>
      </w:hyperlink>
      <w:r>
        <w:t xml:space="preserve">, </w:t>
      </w:r>
      <w:hyperlink r:id="rId16">
        <w:r>
          <w:rPr>
            <w:color w:val="0563C1"/>
            <w:u w:val="single"/>
          </w:rPr>
          <w:t xml:space="preserve">`07`</w:t>
        </w:r>
      </w:hyperlink>
      <w:r>
        <w:t xml:space="preserve">, and </w:t>
      </w:r>
      <w:hyperlink r:id="rId25">
        <w:r>
          <w:rPr>
            <w:color w:val="0563C1"/>
            <w:u w:val="single"/>
          </w:rPr>
          <w:t xml:space="preserve">`16`</w:t>
        </w:r>
      </w:hyperlink>
      <w:r>
        <w:t>.</w:t>
      </w:r>
    </w:p>
    <w:p>
      <w:pPr>
        <w:pStyle w:val="ListBullet"/>
      </w:pPr>
      <w:r>
        <w:rPr>
          <w:b/>
        </w:rPr>
        <w:t>Customer receipt confirmation</w:t>
      </w:r>
      <w:r>
        <w:t xml:space="preserve"> (</w:t>
      </w:r>
      <w:r>
        <w:rPr>
          <w:rFonts w:ascii="Consolas" w:hAnsi="Consolas"/>
          <w:sz w:val="20"/>
        </w:rPr>
        <w:t>docs/SRS.md</w:t>
      </w:r>
      <w:r>
        <w:t xml:space="preserve"> PAY-FR-5, §21.5) — the printable receipt (FR-6.5) now requires the customer's own "mutual consent," not just staff marking an order </w:t>
      </w:r>
      <w:r>
        <w:rPr>
          <w:rFonts w:ascii="Consolas" w:hAnsi="Consolas"/>
          <w:sz w:val="20"/>
        </w:rPr>
        <w:t>DELIVERED</w:t>
      </w:r>
      <w:r>
        <w:t xml:space="preserve">: a new </w:t>
      </w:r>
      <w:r>
        <w:rPr>
          <w:rFonts w:ascii="Consolas" w:hAnsi="Consolas"/>
          <w:sz w:val="20"/>
        </w:rPr>
        <w:t>Order.deliveryConfirmedAt</w:t>
      </w:r>
      <w:r>
        <w:t xml:space="preserve"> field, set only by the customer via a new </w:t>
      </w:r>
      <w:r>
        <w:rPr>
          <w:rFonts w:ascii="Consolas" w:hAnsi="Consolas"/>
          <w:sz w:val="20"/>
        </w:rPr>
        <w:t>PATCH /orders/:id/confirm-receipt</w:t>
      </w:r>
      <w:r>
        <w:t xml:space="preserve"> endpoint (the customer-facing </w:t>
      </w:r>
      <w:r>
        <w:rPr>
          <w:rFonts w:ascii="Consolas" w:hAnsi="Consolas"/>
          <w:sz w:val="20"/>
        </w:rPr>
        <w:t>OrdersController</w:t>
      </w:r>
      <w:r>
        <w:t xml:space="preserve">'s first write path — previously </w:t>
      </w:r>
      <w:r>
        <w:rPr>
          <w:rFonts w:ascii="Consolas" w:hAnsi="Consolas"/>
          <w:sz w:val="20"/>
        </w:rPr>
        <w:t>GET</w:t>
      </w:r>
      <w:r>
        <w:t xml:space="preserve">-only). Both apps' receipt views now carry ChrisPa's logo (the existing inline "C" mark, no new image asset), a company contact block (invented, clearly-placeholder details — no real one exists anywhere in this codebase), and, once confirmed, a CSS-drawn "received in good condition" stamp — see </w:t>
      </w:r>
      <w:hyperlink r:id="rId12">
        <w:r>
          <w:rPr>
            <w:color w:val="0563C1"/>
            <w:u w:val="single"/>
          </w:rPr>
          <w:t xml:space="preserve">`03`</w:t>
        </w:r>
      </w:hyperlink>
      <w:r>
        <w:t xml:space="preserve">, </w:t>
      </w:r>
      <w:hyperlink r:id="rId15">
        <w:r>
          <w:rPr>
            <w:color w:val="0563C1"/>
            <w:u w:val="single"/>
          </w:rPr>
          <w:t xml:space="preserve">`06`</w:t>
        </w:r>
      </w:hyperlink>
      <w:r>
        <w:t xml:space="preserve">, and </w:t>
      </w:r>
      <w:hyperlink r:id="rId25">
        <w:r>
          <w:rPr>
            <w:color w:val="0563C1"/>
            <w:u w:val="single"/>
          </w:rPr>
          <w:t xml:space="preserve">`16`</w:t>
        </w:r>
      </w:hyperlink>
      <w:r>
        <w:t>.</w:t>
      </w:r>
    </w:p>
    <w:p>
      <w:pPr>
        <w:pStyle w:val="ListBullet"/>
      </w:pPr>
      <w:r>
        <w:rPr>
          <w:b/>
        </w:rPr>
        <w:t>Storefront and Admin User Manuals</w:t>
      </w:r>
      <w:r>
        <w:t xml:space="preserve"> (</w:t>
      </w:r>
      <w:hyperlink r:id="rId28">
        <w:r>
          <w:rPr>
            <w:color w:val="0563C1"/>
            <w:u w:val="single"/>
          </w:rPr>
          <w:t xml:space="preserve">`19`</w:t>
        </w:r>
      </w:hyperlink>
      <w:r>
        <w:t xml:space="preserve">, </w:t>
      </w:r>
      <w:hyperlink r:id="rId29">
        <w:r>
          <w:rPr>
            <w:color w:val="0563C1"/>
            <w:u w:val="single"/>
          </w:rPr>
          <w:t xml:space="preserve">`20`</w:t>
        </w:r>
      </w:hyperlink>
      <w:r>
        <w:t>) — genuine end-user documentation, added at explicit user request and distinct from the rest of this set (see the note above). Each ends with a "Feature Availability at a Glance" table consolidating every "not yet built" caveat in one place, so the rest of the manual can stay focused on describing what actually works today, in plain second-person instructions, without hedging every paragraph.</w:t>
      </w:r>
    </w:p>
    <w:p>
      <w:pPr>
        <w:pStyle w:val="ListBullet"/>
      </w:pPr>
      <w:r>
        <w:rPr>
          <w:b/>
        </w:rPr>
        <w:t>CMS admin writes — Social Media Accounts, Pages, Banners</w:t>
      </w:r>
      <w:r>
        <w:t xml:space="preserve"> (</w:t>
      </w:r>
      <w:r>
        <w:rPr>
          <w:rFonts w:ascii="Consolas" w:hAnsi="Consolas"/>
          <w:sz w:val="20"/>
        </w:rPr>
        <w:t>docs/SRS.md</w:t>
      </w:r>
      <w:r>
        <w:t xml:space="preserve"> FR-19.2/FR-1.6/FR-27.1), added per explicit user request in two passes. Social Media Accounts came first: the storefront footer and Account → Connected &amp; Social each used to hardcode their own inconsistent list of non-clickable platform labels; both now read one live table (</w:t>
      </w:r>
      <w:r>
        <w:rPr>
          <w:rFonts w:ascii="Consolas" w:hAnsi="Consolas"/>
          <w:sz w:val="20"/>
        </w:rPr>
        <w:t>SocialMediaAccount</w:t>
      </w:r>
      <w:r>
        <w:t xml:space="preserve">, </w:t>
      </w:r>
      <w:r>
        <w:rPr>
          <w:rFonts w:ascii="Consolas" w:hAnsi="Consolas"/>
          <w:sz w:val="20"/>
        </w:rPr>
        <w:t>GET /cms/social-links</w:t>
      </w:r>
      <w:r>
        <w:t xml:space="preserve">, public) that Owner/Store Manager add, edit, hide, or delete from Admin → CMS / Site Builder. That was extended to </w:t>
      </w:r>
      <w:r>
        <w:rPr>
          <w:b/>
        </w:rPr>
        <w:t>Published Pages</w:t>
      </w:r>
      <w:r>
        <w:t xml:space="preserve"> (full CRUD, live at the storefront route </w:t>
      </w:r>
      <w:r>
        <w:rPr>
          <w:rFonts w:ascii="Consolas" w:hAnsi="Consolas"/>
          <w:sz w:val="20"/>
        </w:rPr>
        <w:t>/pages/[slug]</w:t>
      </w:r>
      <w:r>
        <w:t xml:space="preserve"> the moment one's marked Published — a route that didn't exist before this) and </w:t>
      </w:r>
      <w:r>
        <w:rPr>
          <w:b/>
        </w:rPr>
        <w:t>Active Banners</w:t>
      </w:r>
      <w:r>
        <w:t xml:space="preserve"> (full CRUD, image upload reusing the existing product-photo upload endpoint rather than a new one) — the storefront homepage hero, previously a static placeholder image with nothing behind it, now renders the lowest-</w:t>
      </w:r>
      <w:r>
        <w:rPr>
          <w:rFonts w:ascii="Consolas" w:hAnsi="Consolas"/>
          <w:sz w:val="20"/>
        </w:rPr>
        <w:t>sortOrder</w:t>
      </w:r>
      <w:r>
        <w:t xml:space="preserve"> active banner. </w:t>
      </w:r>
      <w:r>
        <w:rPr>
          <w:rFonts w:ascii="Consolas" w:hAnsi="Consolas"/>
          <w:sz w:val="20"/>
        </w:rPr>
        <w:t>Blog Posts</w:t>
      </w:r>
      <w:r>
        <w:t xml:space="preserve"> is the one CMS-domain model left read-only. </w:t>
      </w:r>
      <w:r>
        <w:rPr>
          <w:rFonts w:ascii="Consolas" w:hAnsi="Consolas"/>
          <w:sz w:val="20"/>
        </w:rPr>
        <w:t>SocialMediaAccount.platform</w:t>
      </w:r>
      <w:r>
        <w:t xml:space="preserve"> is free text, not an enum, so any platform can be added without a schema change — see </w:t>
      </w:r>
      <w:hyperlink r:id="rId12">
        <w:r>
          <w:rPr>
            <w:color w:val="0563C1"/>
            <w:u w:val="single"/>
          </w:rPr>
          <w:t xml:space="preserve">`03`</w:t>
        </w:r>
      </w:hyperlink>
      <w:r>
        <w:t xml:space="preserve">, </w:t>
      </w:r>
      <w:hyperlink r:id="rId15">
        <w:r>
          <w:rPr>
            <w:color w:val="0563C1"/>
            <w:u w:val="single"/>
          </w:rPr>
          <w:t xml:space="preserve">`06`</w:t>
        </w:r>
      </w:hyperlink>
      <w:r>
        <w:t xml:space="preserve">, and </w:t>
      </w:r>
      <w:hyperlink r:id="rId25">
        <w:r>
          <w:rPr>
            <w:color w:val="0563C1"/>
            <w:u w:val="single"/>
          </w:rPr>
          <w:t xml:space="preserve">`16`</w:t>
        </w:r>
      </w:hyperlink>
      <w:r>
        <w:t>.</w:t>
      </w:r>
    </w:p>
    <w:p>
      <w:pPr>
        <w:pStyle w:val="ListBullet"/>
      </w:pPr>
      <w:r>
        <w:rPr>
          <w:b/>
        </w:rPr>
        <w:t>Three near-term priorities</w:t>
      </w:r>
      <w:r>
        <w:t xml:space="preserve"> stand out across this whole set as worth doing before the rest: push the repo to a remote, add database backups, and wire forgot-password/login-alert/staff-temp-password delivery to the email+SMS services (registration OTP already uses real SMTP + Africa's Talking delivery — see </w:t>
      </w:r>
      <w:hyperlink r:id="rId16">
        <w:r>
          <w:rPr>
            <w:color w:val="0563C1"/>
            <w:u w:val="single"/>
          </w:rPr>
          <w:t xml:space="preserve">`07`</w:t>
        </w:r>
      </w:hyperlink>
      <w:r>
        <w:t xml:space="preserve"> — the remaining work is integrating those same services into the other three features, plus a production-grade transactional email API swap). See </w:t>
      </w:r>
      <w:hyperlink r:id="rId30">
        <w:r>
          <w:rPr>
            <w:color w:val="0563C1"/>
            <w:u w:val="single"/>
          </w:rPr>
          <w:t xml:space="preserve">`18` Appendices, section E</w:t>
        </w:r>
      </w:hyperlink>
      <w:r>
        <w:t xml:space="preserve"> for the full pre-production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RS.docx" TargetMode="External"/><Relationship Id="rId10" Type="http://schemas.openxmlformats.org/officeDocument/2006/relationships/hyperlink" Target="./01-project-overview.docx" TargetMode="External"/><Relationship Id="rId11" Type="http://schemas.openxmlformats.org/officeDocument/2006/relationships/hyperlink" Target="./02-system-architecture.docx" TargetMode="External"/><Relationship Id="rId12" Type="http://schemas.openxmlformats.org/officeDocument/2006/relationships/hyperlink" Target="./03-database-design.docx" TargetMode="External"/><Relationship Id="rId13" Type="http://schemas.openxmlformats.org/officeDocument/2006/relationships/hyperlink" Target="./04-backend-development.docx" TargetMode="External"/><Relationship Id="rId14" Type="http://schemas.openxmlformats.org/officeDocument/2006/relationships/hyperlink" Target="./05-frontend-architecture.docx" TargetMode="External"/><Relationship Id="rId15" Type="http://schemas.openxmlformats.org/officeDocument/2006/relationships/hyperlink" Target="./06-api-design-and-documentation.docx" TargetMode="External"/><Relationship Id="rId16" Type="http://schemas.openxmlformats.org/officeDocument/2006/relationships/hyperlink" Target="./07-authentication-and-authorization.docx" TargetMode="External"/><Relationship Id="rId17" Type="http://schemas.openxmlformats.org/officeDocument/2006/relationships/hyperlink" Target="./08-source-code-management-and-cicd.docx" TargetMode="External"/><Relationship Id="rId18" Type="http://schemas.openxmlformats.org/officeDocument/2006/relationships/hyperlink" Target="./09-containerization-and-environments.docx" TargetMode="External"/><Relationship Id="rId19" Type="http://schemas.openxmlformats.org/officeDocument/2006/relationships/hyperlink" Target="./10-security-architecture.docx" TargetMode="External"/><Relationship Id="rId20" Type="http://schemas.openxmlformats.org/officeDocument/2006/relationships/hyperlink" Target="./11-deployment-and-configuration-management.docx" TargetMode="External"/><Relationship Id="rId21" Type="http://schemas.openxmlformats.org/officeDocument/2006/relationships/hyperlink" Target="./12-observability-and-monitoring.docx" TargetMode="External"/><Relationship Id="rId22" Type="http://schemas.openxmlformats.org/officeDocument/2006/relationships/hyperlink" Target="./13-incident-response-and-troubleshooting.docx" TargetMode="External"/><Relationship Id="rId23" Type="http://schemas.openxmlformats.org/officeDocument/2006/relationships/hyperlink" Target="./14-maintenance-and-upgrade-procedures.docx" TargetMode="External"/><Relationship Id="rId24" Type="http://schemas.openxmlformats.org/officeDocument/2006/relationships/hyperlink" Target="./15-disaster-recovery.docx" TargetMode="External"/><Relationship Id="rId25" Type="http://schemas.openxmlformats.org/officeDocument/2006/relationships/hyperlink" Target="./16-user-and-administrator-procedures.docx" TargetMode="External"/><Relationship Id="rId26" Type="http://schemas.openxmlformats.org/officeDocument/2006/relationships/hyperlink" Target="./17-infrastructure-platform-roadmap.docx" TargetMode="External"/><Relationship Id="rId27" Type="http://schemas.openxmlformats.org/officeDocument/2006/relationships/hyperlink" Target="./18-appendices.docx" TargetMode="External"/><Relationship Id="rId28" Type="http://schemas.openxmlformats.org/officeDocument/2006/relationships/hyperlink" Target="./19-storefront-user-manual.docx" TargetMode="External"/><Relationship Id="rId29" Type="http://schemas.openxmlformats.org/officeDocument/2006/relationships/hyperlink" Target="./20-admin-user-manual.docx" TargetMode="External"/><Relationship Id="rId30" Type="http://schemas.openxmlformats.org/officeDocument/2006/relationships/hyperlink" Target="./18-appendices.docx#e-consolidated-check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Documentation Index</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