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08. Source Code Management and CI/CD</w:t>
      </w:r>
    </w:p>
    <w:p>
      <w:r>
        <w:t>Adapts template §6 (GitLab/source management) and §7 (GitLab Runner CI/CD).</w:t>
      </w:r>
    </w:p>
    <w:p>
      <w:pPr>
        <w:pStyle w:val="Heading2"/>
      </w:pPr>
      <w:r>
        <w:t>Current state</w:t>
      </w:r>
    </w:p>
    <w:p>
      <w:pPr>
        <w:pStyle w:val="ListBullet"/>
      </w:pPr>
      <w:r>
        <w:rPr>
          <w:b/>
        </w:rPr>
        <w:t>GitHub is the chosen remote</w:t>
      </w:r>
      <w:r>
        <w:t xml:space="preserve">: </w:t>
      </w:r>
      <w:r>
        <w:rPr>
          <w:rFonts w:ascii="Consolas" w:hAnsi="Consolas"/>
          <w:sz w:val="20"/>
        </w:rPr>
        <w:t>https://github.com/obekegodfreyvicent/chrispa</w:t>
      </w:r>
      <w:r>
        <w:t>, single branch (</w:t>
      </w:r>
      <w:r>
        <w:rPr>
          <w:rFonts w:ascii="Consolas" w:hAnsi="Consolas"/>
          <w:sz w:val="20"/>
        </w:rPr>
        <w:t>main</w:t>
      </w:r>
      <w:r>
        <w:t>), no protected-branch rules, no required pull-request reviews, no branch-naming convention enforced yet — the hosting-platform decision below has been made, the process discipline around it has not.</w:t>
      </w:r>
    </w:p>
    <w:p>
      <w:pPr>
        <w:pStyle w:val="ListBullet"/>
      </w:pPr>
      <w:r>
        <w:rPr>
          <w:b/>
        </w:rPr>
        <w:t>No CI pipeline exists</w:t>
      </w:r>
      <w:r>
        <w:t xml:space="preserve"> — no </w:t>
      </w:r>
      <w:r>
        <w:rPr>
          <w:rFonts w:ascii="Consolas" w:hAnsi="Consolas"/>
          <w:sz w:val="20"/>
        </w:rPr>
        <w:t>.github/workflows/</w:t>
      </w:r>
      <w:r>
        <w:t>, no equivalent. Tests (</w:t>
      </w:r>
      <w:r>
        <w:rPr>
          <w:rFonts w:ascii="Consolas" w:hAnsi="Consolas"/>
          <w:sz w:val="20"/>
        </w:rPr>
        <w:t>npm run test</w:t>
      </w:r>
      <w:r>
        <w:t xml:space="preserve">, </w:t>
      </w:r>
      <w:r>
        <w:rPr>
          <w:rFonts w:ascii="Consolas" w:hAnsi="Consolas"/>
          <w:sz w:val="20"/>
        </w:rPr>
        <w:t>npm run test:e2e</w:t>
      </w:r>
      <w:r>
        <w:t xml:space="preserve"> per workspace) and lint run only when a developer runs them locally; nothing gates a push to </w:t>
      </w:r>
      <w:r>
        <w:rPr>
          <w:rFonts w:ascii="Consolas" w:hAnsi="Consolas"/>
          <w:sz w:val="20"/>
        </w:rPr>
        <w:t>main</w:t>
      </w:r>
      <w:r>
        <w:t xml:space="preserve"> on them passing.</w:t>
      </w:r>
    </w:p>
    <w:p>
      <w:pPr>
        <w:pStyle w:val="ListBullet"/>
      </w:pPr>
      <w:r>
        <w:rPr>
          <w:b/>
        </w:rPr>
        <w:t>CD exists, but only in the "deploy on push" sense, with no CI gate in front of it</w:t>
      </w:r>
      <w:r>
        <w:t>: Render (</w:t>
      </w:r>
      <w:r>
        <w:rPr>
          <w:rFonts w:ascii="Consolas" w:hAnsi="Consolas"/>
          <w:sz w:val="20"/>
        </w:rPr>
        <w:t>chrispa-api</w:t>
      </w:r>
      <w:r>
        <w:t>) and Netlify (</w:t>
      </w:r>
      <w:r>
        <w:rPr>
          <w:rFonts w:ascii="Consolas" w:hAnsi="Consolas"/>
          <w:sz w:val="20"/>
        </w:rPr>
        <w:t>chrispa-storefront</w:t>
      </w:r>
      <w:r>
        <w:t xml:space="preserve">, </w:t>
      </w:r>
      <w:r>
        <w:rPr>
          <w:rFonts w:ascii="Consolas" w:hAnsi="Consolas"/>
          <w:sz w:val="20"/>
        </w:rPr>
        <w:t>chrispa</w:t>
      </w:r>
      <w:r>
        <w:t xml:space="preserve">) each watch </w:t>
      </w:r>
      <w:r>
        <w:rPr>
          <w:rFonts w:ascii="Consolas" w:hAnsi="Consolas"/>
          <w:sz w:val="20"/>
        </w:rPr>
        <w:t>main</w:t>
      </w:r>
      <w:r>
        <w:t xml:space="preserve"> directly and auto-deploy on every push — see </w:t>
      </w:r>
      <w:hyperlink r:id="rId9">
        <w:r>
          <w:rPr>
            <w:color w:val="0563C1"/>
            <w:u w:val="single"/>
          </w:rPr>
          <w:t xml:space="preserve">`11-deployment-and-configuration-management.md`</w:t>
        </w:r>
      </w:hyperlink>
      <w:r>
        <w:t xml:space="preserve"> for the live URLs and config. This is genuinely continuous </w:t>
      </w:r>
      <w:r>
        <w:rPr>
          <w:i/>
        </w:rPr>
        <w:t>deployment</w:t>
      </w:r>
      <w:r>
        <w:t xml:space="preserve">, but not continuous </w:t>
      </w:r>
      <w:r>
        <w:rPr>
          <w:i/>
        </w:rPr>
        <w:t>integration</w:t>
      </w:r>
      <w:r>
        <w:t xml:space="preserve">: a push with a failing test (or no tests at all for the changed code) still deploys straight to production, gated only by each platform's own build step succeeding. Adding a GitHub Actions </w:t>
      </w:r>
      <w:r>
        <w:rPr>
          <w:rFonts w:ascii="Consolas" w:hAnsi="Consolas"/>
          <w:sz w:val="20"/>
        </w:rPr>
        <w:t>lint</w:t>
      </w:r>
      <w:r>
        <w:t>/</w:t>
      </w:r>
      <w:r>
        <w:rPr>
          <w:rFonts w:ascii="Consolas" w:hAnsi="Consolas"/>
          <w:sz w:val="20"/>
        </w:rPr>
        <w:t>test</w:t>
      </w:r>
      <w:r>
        <w:t xml:space="preserve"> workflow that runs on every push — and, ideally, blocks the platforms' auto-deploy on failure, or at minimum blocks merge to </w:t>
      </w:r>
      <w:r>
        <w:rPr>
          <w:rFonts w:ascii="Consolas" w:hAnsi="Consolas"/>
          <w:sz w:val="20"/>
        </w:rPr>
        <w:t>main</w:t>
      </w:r>
      <w:r>
        <w:t xml:space="preserve"> via a required status check — is the single highest-value gap to close next.</w:t>
      </w:r>
    </w:p>
    <w:p>
      <w:r>
        <w:t>This — a CI pipeline in front of the deploy that already happens — is now the largest single gap relative to the template, which assumes GitLab + GitLab Runner running both CI and CD together.</w:t>
      </w:r>
    </w:p>
    <w:p>
      <w:pPr>
        <w:pStyle w:val="Heading2"/>
      </w:pPr>
      <w:r>
        <w:t>Hosting platform — decided</w:t>
      </w:r>
    </w:p>
    <w:p>
      <w:r>
        <w:rPr>
          <w:b/>
        </w:rPr>
        <w:t>GitHub</w:t>
      </w:r>
      <w:r>
        <w:t xml:space="preserve"> was chosen (see Current state above) — the broadest ecosystem/Actions marketplace, cloud-hosted. The template's self-hosted GitLab framing was evaluated and not required for ChrisPa's scale; nothing in </w:t>
      </w:r>
      <w:r>
        <w:rPr>
          <w:rFonts w:ascii="Consolas" w:hAnsi="Consolas"/>
          <w:sz w:val="20"/>
        </w:rPr>
        <w:t>apps/api</w:t>
      </w:r>
      <w:r>
        <w:t>/</w:t>
      </w:r>
      <w:r>
        <w:rPr>
          <w:rFonts w:ascii="Consolas" w:hAnsi="Consolas"/>
          <w:sz w:val="20"/>
        </w:rPr>
        <w:t>apps/storefront</w:t>
      </w:r>
      <w:r>
        <w:t>/</w:t>
      </w:r>
      <w:r>
        <w:rPr>
          <w:rFonts w:ascii="Consolas" w:hAnsi="Consolas"/>
          <w:sz w:val="20"/>
        </w:rPr>
        <w:t>apps/admin</w:t>
      </w:r>
      <w:r>
        <w:t xml:space="preserve"> is GitLab-specific, so this remains reversible if a data-residency or cost-at-scale reason ever comes up.</w:t>
      </w:r>
    </w:p>
    <w:p>
      <w:pPr>
        <w:pStyle w:val="Heading2"/>
      </w:pPr>
      <w:r>
        <w:t>Recommended branching and review practice (process discipline still to adopt)</w:t>
      </w:r>
    </w:p>
    <w:p>
      <w:pPr>
        <w:pStyle w:val="ListBullet"/>
      </w:pPr>
      <w:r>
        <w:t xml:space="preserve">Protected </w:t>
      </w:r>
      <w:r>
        <w:rPr>
          <w:rFonts w:ascii="Consolas" w:hAnsi="Consolas"/>
          <w:sz w:val="20"/>
        </w:rPr>
        <w:t>main</w:t>
      </w:r>
      <w:r>
        <w:t xml:space="preserve"> branch; no direct pushes for anything beyond trivial fixes.</w:t>
      </w:r>
    </w:p>
    <w:p>
      <w:pPr>
        <w:pStyle w:val="ListBullet"/>
      </w:pPr>
      <w:r>
        <w:t xml:space="preserve">Feature branches, merged via pull/merge request — the codebase already has </w:t>
      </w:r>
      <w:r>
        <w:rPr>
          <w:rFonts w:ascii="Consolas" w:hAnsi="Consolas"/>
          <w:sz w:val="20"/>
        </w:rPr>
        <w:t>CLAUDE.md</w:t>
      </w:r>
      <w:r>
        <w:t xml:space="preserve">-documented conventions worth enforcing through required reviews (e.g. the </w:t>
      </w:r>
      <w:r>
        <w:rPr>
          <w:rFonts w:ascii="Consolas" w:hAnsi="Consolas"/>
          <w:sz w:val="20"/>
        </w:rPr>
        <w:t>tx</w:t>
      </w:r>
      <w:r>
        <w:t xml:space="preserve">-passthrough pattern for transactional Prisma calls, the audit-log-on-update pattern in </w:t>
      </w:r>
      <w:r>
        <w:rPr>
          <w:rFonts w:ascii="Consolas" w:hAnsi="Consolas"/>
          <w:sz w:val="20"/>
        </w:rPr>
        <w:t>EmployeesService</w:t>
      </w:r>
      <w:r>
        <w:t>).</w:t>
      </w:r>
    </w:p>
    <w:p>
      <w:pPr>
        <w:pStyle w:val="ListBullet"/>
      </w:pPr>
      <w:r>
        <w:t>Conventional, meaningful commit messages; semantic versioning once the API or a shared package has external consumers (not yet the case).</w:t>
      </w:r>
    </w:p>
    <w:p>
      <w:pPr>
        <w:pStyle w:val="ListBullet"/>
      </w:pPr>
      <w:r>
        <w:rPr>
          <w:rFonts w:ascii="Consolas" w:hAnsi="Consolas"/>
          <w:sz w:val="20"/>
        </w:rPr>
        <w:t>.env</w:t>
      </w:r>
      <w:r>
        <w:t xml:space="preserve">, </w:t>
      </w:r>
      <w:r>
        <w:rPr>
          <w:rFonts w:ascii="Consolas" w:hAnsi="Consolas"/>
          <w:sz w:val="20"/>
        </w:rPr>
        <w:t>apps/api/.env</w:t>
      </w:r>
      <w:r>
        <w:t xml:space="preserve">, and anything matching common secret patterns must never be committed — verify with </w:t>
      </w:r>
      <w:r>
        <w:rPr>
          <w:rFonts w:ascii="Consolas" w:hAnsi="Consolas"/>
          <w:sz w:val="20"/>
        </w:rPr>
        <w:t>git status</w:t>
      </w:r>
      <w:r>
        <w:t xml:space="preserve"> after any broad </w:t>
      </w:r>
      <w:r>
        <w:rPr>
          <w:rFonts w:ascii="Consolas" w:hAnsi="Consolas"/>
          <w:sz w:val="20"/>
        </w:rPr>
        <w:t>git add</w:t>
      </w:r>
      <w:r>
        <w:t xml:space="preserve"> before every commit, per this repo's own operating rules (see </w:t>
      </w:r>
      <w:r>
        <w:rPr>
          <w:rFonts w:ascii="Consolas" w:hAnsi="Consolas"/>
          <w:sz w:val="20"/>
        </w:rPr>
        <w:t>CLAUDE.md</w:t>
      </w:r>
      <w:r>
        <w:t>).</w:t>
      </w:r>
    </w:p>
    <w:p>
      <w:pPr>
        <w:pStyle w:val="Heading2"/>
      </w:pPr>
      <w:r>
        <w:t>Recommended CI pipeline (not yet built — GitHub Actions is the natural runner, now that GitHub is chosen)</w:t>
      </w:r>
    </w:p>
    <w:p>
      <w:r>
        <w:t>Adapting the template's stage list (§7) to what this monorepo actually needs: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would run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npm run lint --workspace apps/api</w:t>
            </w:r>
            <w:r>
              <w:t xml:space="preserve">, same for </w:t>
            </w:r>
            <w:r>
              <w:rPr>
                <w:rFonts w:ascii="Consolas" w:hAnsi="Consolas"/>
                <w:sz w:val="20"/>
              </w:rPr>
              <w:t>storefront</w:t>
            </w:r>
            <w:r>
              <w:t>/</w:t>
            </w:r>
            <w:r>
              <w:rPr>
                <w:rFonts w:ascii="Consolas" w:hAnsi="Consolas"/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unit-test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npm run test --workspace apps/api</w:t>
            </w:r>
            <w:r>
              <w:t xml:space="preserve"> (Jest)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integration-test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npm run test:e2e --workspace apps/api</w:t>
            </w:r>
            <w:r>
              <w:t xml:space="preserve"> against an ephemeral Postgres service container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npm run build:api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build:storefront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build:admin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deploy-staging</w:t>
            </w:r>
          </w:p>
        </w:tc>
        <w:tc>
          <w:tcPr>
            <w:tcW w:type="dxa" w:w="4320"/>
          </w:tcPr>
          <w:p>
            <w:r>
              <w:t xml:space="preserve">Not yet possible — no staging environment exists (see </w:t>
            </w:r>
            <w:hyperlink r:id="rId10">
              <w:r>
                <w:rPr>
                  <w:color w:val="0563C1"/>
                  <w:u w:val="single"/>
                </w:rPr>
                <w:t xml:space="preserve">`09-containerization-and-environments.md`</w:t>
              </w:r>
            </w:hyperlink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approval</w:t>
            </w:r>
          </w:p>
        </w:tc>
        <w:tc>
          <w:tcPr>
            <w:tcW w:type="dxa" w:w="4320"/>
          </w:tcPr>
          <w:p>
            <w:r>
              <w:t>Manual gate before production, once staging exists to gate from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deploy-production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Already happens today</w:t>
            </w:r>
            <w:r>
              <w:t xml:space="preserve"> — Render/Netlify auto-deploy </w:t>
            </w:r>
            <w:r>
              <w:rPr>
                <w:rFonts w:ascii="Consolas" w:hAnsi="Consolas"/>
                <w:sz w:val="20"/>
              </w:rPr>
              <w:t>main</w:t>
            </w:r>
            <w:r>
              <w:t xml:space="preserve"> directly, but with none of the stages above running first (see </w:t>
            </w:r>
            <w:hyperlink r:id="rId9">
              <w:r>
                <w:rPr>
                  <w:color w:val="0563C1"/>
                  <w:u w:val="single"/>
                </w:rPr>
                <w:t xml:space="preserve">`11-deployment-and-configuration-management.md`</w:t>
              </w:r>
            </w:hyperlink>
            <w:r>
              <w:t>)</w:t>
            </w:r>
          </w:p>
        </w:tc>
      </w:tr>
    </w:tbl>
    <w:p>
      <w:r>
        <w:rPr>
          <w:rFonts w:ascii="Consolas" w:hAnsi="Consolas"/>
          <w:sz w:val="20"/>
        </w:rPr>
        <w:t>security-check</w:t>
      </w:r>
      <w:r>
        <w:t xml:space="preserve"> and </w:t>
      </w:r>
      <w:r>
        <w:rPr>
          <w:rFonts w:ascii="Consolas" w:hAnsi="Consolas"/>
          <w:sz w:val="20"/>
        </w:rPr>
        <w:t>package/publish</w:t>
      </w:r>
      <w:r>
        <w:t xml:space="preserve"> stages from the template apply once container images are being built (see </w:t>
      </w:r>
      <w:hyperlink r:id="rId10">
        <w:r>
          <w:rPr>
            <w:color w:val="0563C1"/>
            <w:u w:val="single"/>
          </w:rPr>
          <w:t xml:space="preserve">`09-containerization-and-environments.md`</w:t>
        </w:r>
      </w:hyperlink>
      <w:r>
        <w:t>); until app Dockerfiles exist, they have nothing to scan or publish.</w:t>
      </w:r>
    </w:p>
    <w:p>
      <w:r>
        <w:t xml:space="preserve">This is a recommendation, not a built pipeline — the </w:t>
      </w:r>
      <w:r>
        <w:rPr>
          <w:rFonts w:ascii="Consolas" w:hAnsi="Consolas"/>
          <w:sz w:val="20"/>
        </w:rPr>
        <w:t>lint</w:t>
      </w:r>
      <w:r>
        <w:t>/</w:t>
      </w:r>
      <w:r>
        <w:rPr>
          <w:rFonts w:ascii="Consolas" w:hAnsi="Consolas"/>
          <w:sz w:val="20"/>
        </w:rPr>
        <w:t>unit-test</w:t>
      </w:r>
      <w:r>
        <w:t>/</w:t>
      </w:r>
      <w:r>
        <w:rPr>
          <w:rFonts w:ascii="Consolas" w:hAnsi="Consolas"/>
          <w:sz w:val="20"/>
        </w:rPr>
        <w:t>integration-test</w:t>
      </w:r>
      <w:r>
        <w:t>/</w:t>
      </w:r>
      <w:r>
        <w:rPr>
          <w:rFonts w:ascii="Consolas" w:hAnsi="Consolas"/>
          <w:sz w:val="20"/>
        </w:rPr>
        <w:t>build</w:t>
      </w:r>
      <w:r>
        <w:t xml:space="preserve"> stages could be added as a GitHub Actions workflow today, independent of the staging-environment work, and would immediately start catching regressions before they reach the production deploy that already runs on every push.</w:t>
      </w:r>
    </w:p>
    <w:p>
      <w:pPr>
        <w:pStyle w:val="Heading2"/>
      </w:pPr>
      <w:r>
        <w:t>Infrastructure-as-code in version control</w:t>
      </w:r>
    </w:p>
    <w:p>
      <w:r>
        <w:t xml:space="preserve">Not applicable yet — there is no Ansible/deployment configuration to version (see </w:t>
      </w:r>
      <w:hyperlink r:id="rId11">
        <w:r>
          <w:rPr>
            <w:color w:val="0563C1"/>
            <w:u w:val="single"/>
          </w:rPr>
          <w:t xml:space="preserve">`17-infrastructure-platform-roadmap.md`</w:t>
        </w:r>
      </w:hyperlink>
      <w:r>
        <w:t xml:space="preserve">). </w:t>
      </w:r>
      <w:r>
        <w:rPr>
          <w:rFonts w:ascii="Consolas" w:hAnsi="Consolas"/>
          <w:sz w:val="20"/>
        </w:rPr>
        <w:t>docker-compose.yml</w:t>
      </w:r>
      <w:r>
        <w:t xml:space="preserve"> (Postgres/Redis for local dev) is already committed, satisfying the template's spirit for what does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11-deployment-and-configuration-management.docx" TargetMode="External"/><Relationship Id="rId10" Type="http://schemas.openxmlformats.org/officeDocument/2006/relationships/hyperlink" Target="./09-containerization-and-environments.docx" TargetMode="External"/><Relationship Id="rId11" Type="http://schemas.openxmlformats.org/officeDocument/2006/relationships/hyperlink" Target="./17-infrastructure-platform-road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08. Source Code Management and CI/CD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