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17. Infrastructure Platform Roadmap</w:t>
      </w:r>
    </w:p>
    <w:p>
      <w:r>
        <w:t>The Word template (</w:t>
      </w:r>
      <w:r>
        <w:rPr>
          <w:rFonts w:ascii="Consolas" w:hAnsi="Consolas"/>
          <w:sz w:val="20"/>
        </w:rPr>
        <w:t>Software_Development_and_DevOps_Documentation_v2_Observability.docx</w:t>
      </w:r>
      <w:r>
        <w:t xml:space="preserve">) assumes a fully self-hosted operations platform built around ten infrastructure tools beyond the application stack itself. </w:t>
      </w:r>
      <w:r>
        <w:rPr>
          <w:b/>
        </w:rPr>
        <w:t>None of these specific tools are adopted in ChrisPa today</w:t>
      </w:r>
      <w:r>
        <w:t xml:space="preserve"> (§17.3's underlying need — HTTPS/TLS — is satisfied by managed-platform equivalents now that production exists; see below), and this document argues most of the rest shouldn't be adopted — yet — rather than pretending they exist. Each section states the template's intent, ChrisPa's current state, a right-sized recommendation, and the concrete trigger that would justify revisiting the decision.</w:t>
      </w:r>
    </w:p>
    <w:p>
      <w:pPr>
        <w:pStyle w:val="Heading2"/>
      </w:pPr>
      <w:r>
        <w:t>17.1 Infrastructure Automation — Ansible</w:t>
      </w:r>
    </w:p>
    <w:p>
      <w:r>
        <w:rPr>
          <w:b/>
        </w:rPr>
        <w:t>Template intent</w:t>
      </w:r>
      <w:r>
        <w:t>: reproducible infrastructure config via idempotent playbooks, environment-specific inventories, roles.</w:t>
      </w:r>
    </w:p>
    <w:p>
      <w:r>
        <w:rPr>
          <w:b/>
        </w:rPr>
        <w:t>Current state</w:t>
      </w:r>
      <w:r>
        <w:t>: not adopted. There is nothing to configure yet — no servers exist outside this development machine and its two local containers.</w:t>
      </w:r>
    </w:p>
    <w:p>
      <w:r>
        <w:rPr>
          <w:b/>
        </w:rPr>
        <w:t>Recommendation</w:t>
      </w:r>
      <w:r>
        <w:t xml:space="preserve">: don't adopt until there's more than one server to keep consistent. A single production host provisioned once by hand (with the setup steps documented, not automated) is not worth an Ansible investment. </w:t>
      </w:r>
      <w:r>
        <w:rPr>
          <w:b/>
        </w:rPr>
        <w:t>Trigger</w:t>
      </w:r>
      <w:r>
        <w:t>: a second production host (e.g. separate app/DB hosts, or horizontal scaling of the API), or infrastructure changing often enough that manual drift becomes a recurring incident cause.</w:t>
      </w:r>
    </w:p>
    <w:p>
      <w:pPr>
        <w:pStyle w:val="Heading2"/>
      </w:pPr>
      <w:r>
        <w:t>17.2 Networking — WireGuard</w:t>
      </w:r>
    </w:p>
    <w:p>
      <w:r>
        <w:rPr>
          <w:b/>
        </w:rPr>
        <w:t>Template intent</w:t>
      </w:r>
      <w:r>
        <w:t>: private encrypted network for administrative/internal service access, separate from public traffic.</w:t>
      </w:r>
    </w:p>
    <w:p>
      <w:r>
        <w:rPr>
          <w:b/>
        </w:rPr>
        <w:t>Current state</w:t>
      </w:r>
      <w:r>
        <w:t>: not adopted. No production network exists to segment.</w:t>
      </w:r>
    </w:p>
    <w:p>
      <w:r>
        <w:rPr>
          <w:b/>
        </w:rPr>
        <w:t>Recommendation</w:t>
      </w:r>
      <w:r>
        <w:t xml:space="preserve">: the admin console's </w:t>
      </w:r>
      <w:r>
        <w:rPr>
          <w:rFonts w:ascii="Consolas" w:hAnsi="Consolas"/>
          <w:sz w:val="20"/>
        </w:rPr>
        <w:t>RolesGuard</w:t>
      </w:r>
      <w:r>
        <w:t xml:space="preserve">-based access control is the real boundary today (see </w:t>
      </w:r>
      <w:hyperlink r:id="rId9">
        <w:r>
          <w:rPr>
            <w:color w:val="0563C1"/>
            <w:u w:val="single"/>
          </w:rPr>
          <w:t xml:space="preserve">`07-authentication-and-authorization.md`</w:t>
        </w:r>
      </w:hyperlink>
      <w:r>
        <w:t xml:space="preserve">); a hosting provider's firewall/security-group rules restricting the admin console's origin IPs would likely satisfy the same need more simply than standing up WireGuard. </w:t>
      </w:r>
      <w:r>
        <w:rPr>
          <w:b/>
        </w:rPr>
        <w:t>Trigger</w:t>
      </w:r>
      <w:r>
        <w:t>: a compliance requirement for network-level (not just application-level) admin isolation, or a dedicated ops/infra employee who'd maintain it.</w:t>
      </w:r>
    </w:p>
    <w:p>
      <w:pPr>
        <w:pStyle w:val="Heading2"/>
      </w:pPr>
      <w:r>
        <w:t>17.3 Reverse Proxy &amp; TLS — Traefik and Certbot</w:t>
      </w:r>
    </w:p>
    <w:p>
      <w:r>
        <w:rPr>
          <w:b/>
        </w:rPr>
        <w:t>Template intent</w:t>
      </w:r>
      <w:r>
        <w:t>: ingress, routing, and automated HTTPS certificate management.</w:t>
      </w:r>
    </w:p>
    <w:p>
      <w:r>
        <w:rPr>
          <w:b/>
        </w:rPr>
        <w:t>Current state</w:t>
      </w:r>
      <w:r>
        <w:t xml:space="preserve">: Traefik specifically — not adopted. But the trigger below has fired: </w:t>
      </w:r>
      <w:r>
        <w:rPr>
          <w:rFonts w:ascii="Consolas" w:hAnsi="Consolas"/>
          <w:sz w:val="20"/>
        </w:rPr>
        <w:t>api</w:t>
      </w:r>
      <w:r>
        <w:t xml:space="preserve"> (Render), </w:t>
      </w:r>
      <w:r>
        <w:rPr>
          <w:rFonts w:ascii="Consolas" w:hAnsi="Consolas"/>
          <w:sz w:val="20"/>
        </w:rPr>
        <w:t>storefront</w:t>
      </w:r>
      <w:r>
        <w:t xml:space="preserve">, and </w:t>
      </w:r>
      <w:r>
        <w:rPr>
          <w:rFonts w:ascii="Consolas" w:hAnsi="Consolas"/>
          <w:sz w:val="20"/>
        </w:rPr>
        <w:t>admin</w:t>
      </w:r>
      <w:r>
        <w:t xml:space="preserve"> (both Netlify) are all publicly deployed and served over HTTPS today, satisfied by each platform's own managed edge/TLS rather than a self-hosted Traefik instance — see </w:t>
      </w:r>
      <w:hyperlink r:id="rId10">
        <w:r>
          <w:rPr>
            <w:color w:val="0563C1"/>
            <w:u w:val="single"/>
          </w:rPr>
          <w:t xml:space="preserve">`02-system-architecture.md`</w:t>
        </w:r>
      </w:hyperlink>
      <w:r>
        <w:t xml:space="preserve"> for the live topology and </w:t>
      </w:r>
      <w:hyperlink r:id="rId11">
        <w:r>
          <w:rPr>
            <w:color w:val="0563C1"/>
            <w:u w:val="single"/>
          </w:rPr>
          <w:t xml:space="preserve">`11-deployment-and-configuration-management.md`</w:t>
        </w:r>
      </w:hyperlink>
      <w:r>
        <w:t xml:space="preserve"> for URLs.</w:t>
      </w:r>
    </w:p>
    <w:p>
      <w:r>
        <w:rPr>
          <w:b/>
        </w:rPr>
        <w:t>Recommendation</w:t>
      </w:r>
      <w:r>
        <w:t>: the managed-platform TLS already in place satisfies the requirement this section exists to enforce — no unmet gap remains here. Revisit only if a future need (custom edge routing, a WAF, multiple backend services behind one hostname) outgrows what Render/Netlify's built-in edge can do; that's a real Traefik trigger, not "go live" (already happened without it).</w:t>
      </w:r>
    </w:p>
    <w:p>
      <w:pPr>
        <w:pStyle w:val="Heading2"/>
      </w:pPr>
      <w:r>
        <w:t>17.4 Application Hosting — LXC</w:t>
      </w:r>
    </w:p>
    <w:p>
      <w:r>
        <w:rPr>
          <w:b/>
        </w:rPr>
        <w:t>Template intent</w:t>
      </w:r>
      <w:r>
        <w:t>: OS-level isolation for system workloads, lighter than full VMs.</w:t>
      </w:r>
    </w:p>
    <w:p>
      <w:r>
        <w:rPr>
          <w:b/>
        </w:rPr>
        <w:t>Current state</w:t>
      </w:r>
      <w:r>
        <w:t>: not adopted.</w:t>
      </w:r>
    </w:p>
    <w:p>
      <w:r>
        <w:rPr>
          <w:b/>
        </w:rPr>
        <w:t>Recommendation</w:t>
      </w:r>
      <w:r>
        <w:t xml:space="preserve">: once the apps are containerized (see </w:t>
      </w:r>
      <w:hyperlink r:id="rId12">
        <w:r>
          <w:rPr>
            <w:color w:val="0563C1"/>
            <w:u w:val="single"/>
          </w:rPr>
          <w:t xml:space="preserve">`09-containerization-and-environments.md`</w:t>
        </w:r>
      </w:hyperlink>
      <w:r>
        <w:t xml:space="preserve">), Docker alone provides sufficient isolation for three web services and a database — LXC solves a different problem (running system-level services that predate or don't fit the container model). </w:t>
      </w:r>
      <w:r>
        <w:rPr>
          <w:b/>
        </w:rPr>
        <w:t>Trigger</w:t>
      </w:r>
      <w:r>
        <w:t>: none currently foreseeable for ChrisPa's architecture.</w:t>
      </w:r>
    </w:p>
    <w:p>
      <w:pPr>
        <w:pStyle w:val="Heading2"/>
      </w:pPr>
      <w:r>
        <w:t>17.5 Email Infrastructure — iRedMail</w:t>
      </w:r>
    </w:p>
    <w:p>
      <w:r>
        <w:rPr>
          <w:b/>
        </w:rPr>
        <w:t>Template intent</w:t>
      </w:r>
      <w:r>
        <w:t>: self-hosted email platform with DNS/TLS/anti-abuse/reputation management.</w:t>
      </w:r>
    </w:p>
    <w:p>
      <w:r>
        <w:rPr>
          <w:b/>
        </w:rPr>
        <w:t>Current state</w:t>
      </w:r>
      <w:r>
        <w:t xml:space="preserve">: iRedMail specifically — not adopted, and the recommendation against it still holds. ChrisPa has </w:t>
      </w:r>
      <w:r>
        <w:rPr>
          <w:b/>
        </w:rPr>
        <w:t>working, live email and SMS delivery</w:t>
      </w:r>
      <w:r>
        <w:t xml:space="preserve">: </w:t>
      </w:r>
      <w:r>
        <w:rPr>
          <w:rFonts w:ascii="Consolas" w:hAnsi="Consolas"/>
          <w:sz w:val="20"/>
        </w:rPr>
        <w:t>MailService</w:t>
      </w:r>
      <w:r>
        <w:t xml:space="preserve"> (Brevo's transactional HTTP API) and </w:t>
      </w:r>
      <w:r>
        <w:rPr>
          <w:rFonts w:ascii="Consolas" w:hAnsi="Consolas"/>
          <w:sz w:val="20"/>
        </w:rPr>
        <w:t>SmsService</w:t>
      </w:r>
      <w:r>
        <w:t xml:space="preserve"> (Africa's Talking) are both real integrations, wired to registration OTP, configured on the production API, and confirmed delivering — a real registration completes in ~8 seconds with both codes received (see </w:t>
      </w:r>
      <w:hyperlink r:id="rId9">
        <w:r>
          <w:rPr>
            <w:color w:val="0563C1"/>
            <w:u w:val="single"/>
          </w:rPr>
          <w:t xml:space="preserve">`07-authentication-and-authorization.md`</w:t>
        </w:r>
      </w:hyperlink>
      <w:r>
        <w:t xml:space="preserve">). Getting here surfaced a real platform constraint worth remembering: </w:t>
      </w:r>
      <w:r>
        <w:rPr>
          <w:b/>
        </w:rPr>
        <w:t>Render's free-tier web services block all outbound SMTP traffic</w:t>
      </w:r>
      <w:r>
        <w:t xml:space="preserve"> (ports 25/465/587, a policy since September 2025), so </w:t>
      </w:r>
      <w:r>
        <w:rPr>
          <w:rFonts w:ascii="Consolas" w:hAnsi="Consolas"/>
          <w:sz w:val="20"/>
        </w:rPr>
        <w:t>MailService</w:t>
      </w:r>
      <w:r>
        <w:t xml:space="preserve"> originally built on generic SMTP via </w:t>
      </w:r>
      <w:r>
        <w:rPr>
          <w:rFonts w:ascii="Consolas" w:hAnsi="Consolas"/>
          <w:sz w:val="20"/>
        </w:rPr>
        <w:t>nodemailer</w:t>
      </w:r>
      <w:r>
        <w:t xml:space="preserve"> had to be rewritten around an HTTP-based provider API instead — this is why the delivery code is now Brevo-specific rather than "any SMTP account works." Also worth remembering when touching Africa's Talking: its </w:t>
      </w:r>
      <w:r>
        <w:rPr>
          <w:b/>
        </w:rPr>
        <w:t>sandbox mode never delivers real SMS to arbitrary real phone numbers</w:t>
      </w:r>
      <w:r>
        <w:t xml:space="preserve"> regardless of credentials — only to numbers explicitly registered as test recipients in the AT dashboard's simulator; real delivery to arbitrary customers needs a live (non-sandbox) AT account with purchased credit. Separately, forgot-password, login-alert delivery, and staff temp-password delivery still don't call </w:t>
      </w:r>
      <w:r>
        <w:rPr>
          <w:rFonts w:ascii="Consolas" w:hAnsi="Consolas"/>
          <w:sz w:val="20"/>
        </w:rPr>
        <w:t>MailService</w:t>
      </w:r>
      <w:r>
        <w:t xml:space="preserve">/ </w:t>
      </w:r>
      <w:r>
        <w:rPr>
          <w:rFonts w:ascii="Consolas" w:hAnsi="Consolas"/>
          <w:sz w:val="20"/>
        </w:rPr>
        <w:t>SmsService</w:t>
      </w:r>
      <w:r>
        <w:t xml:space="preserve"> at all yet, even with delivery itself now working — that's integration work on each of those three features, distinct from (and now the only remaining piece of) the delivery-provider gap this section used to describe. See incidents #2–#4 in </w:t>
      </w:r>
      <w:hyperlink r:id="rId13">
        <w:r>
          <w:rPr>
            <w:color w:val="0563C1"/>
            <w:u w:val="single"/>
          </w:rPr>
          <w:t xml:space="preserve">`13-incident-response-and-troubleshooting.md`</w:t>
        </w:r>
      </w:hyperlink>
      <w:r>
        <w:t xml:space="preserve"> for the full resolution history.</w:t>
      </w:r>
    </w:p>
    <w:p>
      <w:r>
        <w:rPr>
          <w:b/>
        </w:rPr>
        <w:t>Recommendation</w:t>
      </w:r>
      <w:r>
        <w:t xml:space="preserve">: the urgent item — getting registration OTP delivery actually working in production — is </w:t>
      </w:r>
      <w:r>
        <w:rPr>
          <w:b/>
        </w:rPr>
        <w:t>done</w:t>
      </w:r>
      <w:r>
        <w:t xml:space="preserve">. Remaining work here is lower-priority: wire forgot-password/login-alerts/temp-password delivery to </w:t>
      </w:r>
      <w:r>
        <w:rPr>
          <w:rFonts w:ascii="Consolas" w:hAnsi="Consolas"/>
          <w:sz w:val="20"/>
        </w:rPr>
        <w:t>MailService</w:t>
      </w:r>
      <w:r>
        <w:t>/</w:t>
      </w:r>
      <w:r>
        <w:rPr>
          <w:rFonts w:ascii="Consolas" w:hAnsi="Consolas"/>
          <w:sz w:val="20"/>
        </w:rPr>
        <w:t>SmsService</w:t>
      </w:r>
      <w:r>
        <w:t xml:space="preserve"> when those features are built, and move Africa's Talking off sandbox (a live account with purchased credit) before depending on SMS reaching real customer phones. A self-hosted mail server (iRedMail) remains the wrong direction regardless — it requires ongoing reputation/deliverability management that has nothing to do with ChrisPa's product and everything to do with becoming an email-infrastructure operator.</w:t>
      </w:r>
    </w:p>
    <w:p>
      <w:pPr>
        <w:pStyle w:val="Heading2"/>
      </w:pPr>
      <w:r>
        <w:t>17.6 Team Communication — Zulip / Slack</w:t>
      </w:r>
    </w:p>
    <w:p>
      <w:r>
        <w:rPr>
          <w:b/>
        </w:rPr>
        <w:t>Template intent</w:t>
      </w:r>
      <w:r>
        <w:t>: internal team chat.</w:t>
      </w:r>
    </w:p>
    <w:p>
      <w:r>
        <w:rPr>
          <w:b/>
        </w:rPr>
        <w:t>Current state</w:t>
      </w:r>
      <w:r>
        <w:t>: not adopted by the software platform (the business may use WhatsApp/Slack/email informally — that's outside this codebase's scope either way).</w:t>
      </w:r>
    </w:p>
    <w:p>
      <w:r>
        <w:rPr>
          <w:b/>
        </w:rPr>
        <w:t>Recommendation</w:t>
      </w:r>
      <w:r>
        <w:t>: not a software-project concern; whatever the ChrisPa team already uses for internal communication is fine. No trigger to revisit — this was never going to be self-hosted infrastructure this project builds.</w:t>
      </w:r>
    </w:p>
    <w:p>
      <w:pPr>
        <w:pStyle w:val="Heading2"/>
      </w:pPr>
      <w:r>
        <w:t>17.7 DNS &amp; Network Services — Pi-hole</w:t>
      </w:r>
    </w:p>
    <w:p>
      <w:r>
        <w:rPr>
          <w:b/>
        </w:rPr>
        <w:t>Template intent</w:t>
      </w:r>
      <w:r>
        <w:t>: internal DNS filtering.</w:t>
      </w:r>
    </w:p>
    <w:p>
      <w:r>
        <w:rPr>
          <w:b/>
        </w:rPr>
        <w:t>Current state</w:t>
      </w:r>
      <w:r>
        <w:t>: not adopted — no internal network exists to filter.</w:t>
      </w:r>
    </w:p>
    <w:p>
      <w:r>
        <w:rPr>
          <w:b/>
        </w:rPr>
        <w:t>Recommendation</w:t>
      </w:r>
      <w:r>
        <w:t>: not applicable at ChrisPa's scale; public DNS through whatever registrar/DNS provider hosts the eventual production domain is sufficient. No trigger foreseeable.</w:t>
      </w:r>
    </w:p>
    <w:p>
      <w:pPr>
        <w:pStyle w:val="Heading2"/>
      </w:pPr>
      <w:r>
        <w:t>17.8 File Collaboration — Nextcloud</w:t>
      </w:r>
    </w:p>
    <w:p>
      <w:r>
        <w:rPr>
          <w:b/>
        </w:rPr>
        <w:t>Template intent</w:t>
      </w:r>
      <w:r>
        <w:t>: self-hosted file storage/collaboration.</w:t>
      </w:r>
    </w:p>
    <w:p>
      <w:r>
        <w:rPr>
          <w:b/>
        </w:rPr>
        <w:t>Current state</w:t>
      </w:r>
      <w:r>
        <w:t xml:space="preserve">: not adopted, and unrelated to the application's own (separate) user-upload storage gap — </w:t>
      </w:r>
      <w:r>
        <w:rPr>
          <w:rFonts w:ascii="Consolas" w:hAnsi="Consolas"/>
          <w:sz w:val="20"/>
        </w:rPr>
        <w:t>apps/api</w:t>
      </w:r>
      <w:r>
        <w:t xml:space="preserve"> currently serves user-uploaded avatars </w:t>
      </w:r>
      <w:r>
        <w:rPr>
          <w:i/>
        </w:rPr>
        <w:t>and</w:t>
      </w:r>
      <w:r>
        <w:t xml:space="preserve"> product media from local disk (</w:t>
      </w:r>
      <w:r>
        <w:rPr>
          <w:rFonts w:ascii="Consolas" w:hAnsi="Consolas"/>
          <w:sz w:val="20"/>
        </w:rPr>
        <w:t>uploads/avatars/</w:t>
      </w:r>
      <w:r>
        <w:t xml:space="preserve">, </w:t>
      </w:r>
      <w:r>
        <w:rPr>
          <w:rFonts w:ascii="Consolas" w:hAnsi="Consolas"/>
          <w:sz w:val="20"/>
        </w:rPr>
        <w:t>uploads/products/</w:t>
      </w:r>
      <w:r>
        <w:t xml:space="preserve">) with no object-storage/CDN integration (noted in </w:t>
      </w:r>
      <w:r>
        <w:rPr>
          <w:rFonts w:ascii="Consolas" w:hAnsi="Consolas"/>
          <w:sz w:val="20"/>
        </w:rPr>
        <w:t>main.ts</w:t>
      </w:r>
      <w:r>
        <w:t xml:space="preserve">, see </w:t>
      </w:r>
      <w:hyperlink r:id="rId14">
        <w:r>
          <w:rPr>
            <w:color w:val="0563C1"/>
            <w:u w:val="single"/>
          </w:rPr>
          <w:t xml:space="preserve">`04-backend-development.md`</w:t>
        </w:r>
      </w:hyperlink>
      <w:r>
        <w:t>). That gap should be closed with a managed object-storage service (S3-compatible), not Nextcloud, since it's a product feature (product images, user avatars) rather than internal team file-sharing.</w:t>
      </w:r>
    </w:p>
    <w:p>
      <w:r>
        <w:rPr>
          <w:b/>
        </w:rPr>
        <w:t>Recommendation</w:t>
      </w:r>
      <w:r>
        <w:t>: not applicable for internal team collaboration; separately, prioritize migrating user-uploaded media to object storage before production (local disk storage doesn't survive a redeploy or scale past one host).</w:t>
      </w:r>
    </w:p>
    <w:p>
      <w:pPr>
        <w:pStyle w:val="Heading2"/>
      </w:pPr>
      <w:r>
        <w:t>17.9 Monitoring — Checkmk</w:t>
      </w:r>
    </w:p>
    <w:p>
      <w:r>
        <w:rPr>
          <w:b/>
        </w:rPr>
        <w:t>Template intent</w:t>
      </w:r>
      <w:r>
        <w:t>: infrastructure/service health monitoring, certificate expiry, backup status.</w:t>
      </w:r>
    </w:p>
    <w:p>
      <w:r>
        <w:rPr>
          <w:b/>
        </w:rPr>
        <w:t>Current state</w:t>
      </w:r>
      <w:r>
        <w:t xml:space="preserve">: not adopted — see </w:t>
      </w:r>
      <w:hyperlink r:id="rId15">
        <w:r>
          <w:rPr>
            <w:color w:val="0563C1"/>
            <w:u w:val="single"/>
          </w:rPr>
          <w:t xml:space="preserve">`12-observability-and-monitoring.md`</w:t>
        </w:r>
      </w:hyperlink>
      <w:r>
        <w:t xml:space="preserve"> for the full observability gap and recommended adoption sequence.</w:t>
      </w:r>
    </w:p>
    <w:p>
      <w:r>
        <w:rPr>
          <w:b/>
        </w:rPr>
        <w:t>Recommendation</w:t>
      </w:r>
      <w:r>
        <w:t xml:space="preserve">: a hosting provider's built-in monitoring, or a lightweight external uptime checker, plus the Prometheus/Grafana path already recommended in the observability document, covers ChrisPa's needs without operating a self-hosted Checkmk server. </w:t>
      </w:r>
      <w:r>
        <w:rPr>
          <w:b/>
        </w:rPr>
        <w:t>Trigger</w:t>
      </w:r>
      <w:r>
        <w:t>: enough self-hosted infrastructure (multiple VMs/services outside a managed platform) that a dedicated monitoring server earns its keep — not the case today.</w:t>
      </w:r>
    </w:p>
    <w:p>
      <w:pPr>
        <w:pStyle w:val="Heading2"/>
      </w:pPr>
      <w:r>
        <w:t>17.10 Backup &amp; Disaster Recovery — Borg / borgmatic</w:t>
      </w:r>
    </w:p>
    <w:p>
      <w:r>
        <w:rPr>
          <w:b/>
        </w:rPr>
        <w:t>Template intent</w:t>
      </w:r>
      <w:r>
        <w:t>: automated encrypted backups across heterogeneous data (files, configs, databases).</w:t>
      </w:r>
    </w:p>
    <w:p>
      <w:r>
        <w:rPr>
          <w:b/>
        </w:rPr>
        <w:t>Current state</w:t>
      </w:r>
      <w:r>
        <w:t xml:space="preserve">: not adopted — see </w:t>
      </w:r>
      <w:hyperlink r:id="rId16">
        <w:r>
          <w:rPr>
            <w:color w:val="0563C1"/>
            <w:u w:val="single"/>
          </w:rPr>
          <w:t xml:space="preserve">`15-disaster-recovery.md`</w:t>
        </w:r>
      </w:hyperlink>
      <w:r>
        <w:t xml:space="preserve"> for the recommended </w:t>
      </w:r>
      <w:r>
        <w:rPr>
          <w:rFonts w:ascii="Consolas" w:hAnsi="Consolas"/>
          <w:sz w:val="20"/>
        </w:rPr>
        <w:t>pg_dump</w:t>
      </w:r>
      <w:r>
        <w:t>-based alternative and why it's sufficient for ChrisPa's single-database footprint today.</w:t>
      </w:r>
    </w:p>
    <w:p>
      <w:r>
        <w:rPr>
          <w:b/>
        </w:rPr>
        <w:t>Trigger to revisit</w:t>
      </w:r>
      <w:r>
        <w:t>: once there's more than just the database to back up (e.g. object storage, multiple databases, self-hosted infra config) such that deduplicated, multi-source backup tooling starts paying for itself.</w:t>
      </w:r>
    </w:p>
    <w:p>
      <w:pPr>
        <w:pStyle w:val="Heading2"/>
      </w:pPr>
      <w:r>
        <w:t>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Adopted?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Right-sized alternative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Revisit when</w:t>
            </w:r>
          </w:p>
        </w:tc>
      </w:tr>
      <w:tr>
        <w:tc>
          <w:tcPr>
            <w:tcW w:type="dxa" w:w="2160"/>
          </w:tcPr>
          <w:p>
            <w:r>
              <w:t>Ansible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Manual, documented setup</w:t>
            </w:r>
          </w:p>
        </w:tc>
        <w:tc>
          <w:tcPr>
            <w:tcW w:type="dxa" w:w="2160"/>
          </w:tcPr>
          <w:p>
            <w:r>
              <w:t>Second production host</w:t>
            </w:r>
          </w:p>
        </w:tc>
      </w:tr>
      <w:tr>
        <w:tc>
          <w:tcPr>
            <w:tcW w:type="dxa" w:w="2160"/>
          </w:tcPr>
          <w:p>
            <w:r>
              <w:t>WireGuard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Provider firewall / security groups</w:t>
            </w:r>
          </w:p>
        </w:tc>
        <w:tc>
          <w:tcPr>
            <w:tcW w:type="dxa" w:w="2160"/>
          </w:tcPr>
          <w:p>
            <w:r>
              <w:t>Network-level compliance requirement</w:t>
            </w:r>
          </w:p>
        </w:tc>
      </w:tr>
      <w:tr>
        <w:tc>
          <w:tcPr>
            <w:tcW w:type="dxa" w:w="2160"/>
          </w:tcPr>
          <w:p>
            <w:r>
              <w:t>Traefik/Certbot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Satisfied — Render/Netlify managed TLS, live today</w:t>
            </w:r>
          </w:p>
        </w:tc>
        <w:tc>
          <w:tcPr>
            <w:tcW w:type="dxa" w:w="2160"/>
          </w:tcPr>
          <w:p>
            <w:r>
              <w:t>Custom edge routing needs outgrow the managed platforms</w:t>
            </w:r>
          </w:p>
        </w:tc>
      </w:tr>
      <w:tr>
        <w:tc>
          <w:tcPr>
            <w:tcW w:type="dxa" w:w="2160"/>
          </w:tcPr>
          <w:p>
            <w:r>
              <w:t>LXC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Docker alone</w:t>
            </w:r>
          </w:p>
        </w:tc>
        <w:tc>
          <w:tcPr>
            <w:tcW w:type="dxa" w:w="2160"/>
          </w:tcPr>
          <w:p>
            <w:r>
              <w:t>Not foreseen</w:t>
            </w:r>
          </w:p>
        </w:tc>
      </w:tr>
      <w:tr>
        <w:tc>
          <w:tcPr>
            <w:tcW w:type="dxa" w:w="2160"/>
          </w:tcPr>
          <w:p>
            <w:r>
              <w:t>iRedMail</w:t>
            </w:r>
          </w:p>
        </w:tc>
        <w:tc>
          <w:tcPr>
            <w:tcW w:type="dxa" w:w="2160"/>
          </w:tcPr>
          <w:p>
            <w:r>
              <w:t xml:space="preserve">No — </w:t>
            </w:r>
            <w:r>
              <w:rPr>
                <w:b/>
              </w:rPr>
              <w:t>satisfied: Brevo HTTP API + Africa's Talking sandbox, both configured and confirmed delivering in production</w:t>
            </w:r>
          </w:p>
        </w:tc>
        <w:tc>
          <w:tcPr>
            <w:tcW w:type="dxa" w:w="2160"/>
          </w:tcPr>
          <w:p>
            <w:r>
              <w:t>Registration OTP delivery now works end-to-end (~8s, both channels); Africa's Talking still needs a live (non-sandbox) account before real customer phones can receive SMS</w:t>
            </w:r>
          </w:p>
        </w:tc>
        <w:tc>
          <w:tcPr>
            <w:tcW w:type="dxa" w:w="2160"/>
          </w:tcPr>
          <w:p>
            <w:r>
              <w:t>Move AT off sandbox before depending on real SMS delivery; wire forgot-password/login-alerts/temp-password to the same services when those features are built</w:t>
            </w:r>
          </w:p>
        </w:tc>
      </w:tr>
      <w:tr>
        <w:tc>
          <w:tcPr>
            <w:tcW w:type="dxa" w:w="2160"/>
          </w:tcPr>
          <w:p>
            <w:r>
              <w:t>Zulip/Slack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Whatever the team already uses</w:t>
            </w:r>
          </w:p>
        </w:tc>
        <w:tc>
          <w:tcPr>
            <w:tcW w:type="dxa" w:w="2160"/>
          </w:tcPr>
          <w:p>
            <w:r>
              <w:t>N/A — not a platform concern</w:t>
            </w:r>
          </w:p>
        </w:tc>
      </w:tr>
      <w:tr>
        <w:tc>
          <w:tcPr>
            <w:tcW w:type="dxa" w:w="2160"/>
          </w:tcPr>
          <w:p>
            <w:r>
              <w:t>Pi-hole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Public DNS via registrar</w:t>
            </w:r>
          </w:p>
        </w:tc>
        <w:tc>
          <w:tcPr>
            <w:tcW w:type="dxa" w:w="2160"/>
          </w:tcPr>
          <w:p>
            <w:r>
              <w:t>Not foreseen</w:t>
            </w:r>
          </w:p>
        </w:tc>
      </w:tr>
      <w:tr>
        <w:tc>
          <w:tcPr>
            <w:tcW w:type="dxa" w:w="2160"/>
          </w:tcPr>
          <w:p>
            <w:r>
              <w:t>Nextcloud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Object storage for product/user media</w:t>
            </w:r>
          </w:p>
        </w:tc>
        <w:tc>
          <w:tcPr>
            <w:tcW w:type="dxa" w:w="2160"/>
          </w:tcPr>
          <w:p>
            <w:r>
              <w:t>Before production (media survives redeploy)</w:t>
            </w:r>
          </w:p>
        </w:tc>
      </w:tr>
      <w:tr>
        <w:tc>
          <w:tcPr>
            <w:tcW w:type="dxa" w:w="2160"/>
          </w:tcPr>
          <w:p>
            <w:r>
              <w:t>Checkmk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Provider monitoring + Prometheus/Grafana later</w:t>
            </w:r>
          </w:p>
        </w:tc>
        <w:tc>
          <w:tcPr>
            <w:tcW w:type="dxa" w:w="2160"/>
          </w:tcPr>
          <w:p>
            <w:r>
              <w:t>Multi-VM self-hosted footprint</w:t>
            </w:r>
          </w:p>
        </w:tc>
      </w:tr>
      <w:tr>
        <w:tc>
          <w:tcPr>
            <w:tcW w:type="dxa" w:w="2160"/>
          </w:tcPr>
          <w:p>
            <w:r>
              <w:t>Borg/borgmatic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pg_dump</w:t>
            </w:r>
            <w:r>
              <w:t>-based backups</w:t>
            </w:r>
          </w:p>
        </w:tc>
        <w:tc>
          <w:tcPr>
            <w:tcW w:type="dxa" w:w="2160"/>
          </w:tcPr>
          <w:p>
            <w:r>
              <w:t>Multiple data sources beyond one DB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07-authentication-and-authorization.docx" TargetMode="External"/><Relationship Id="rId10" Type="http://schemas.openxmlformats.org/officeDocument/2006/relationships/hyperlink" Target="./02-system-architecture.docx" TargetMode="External"/><Relationship Id="rId11" Type="http://schemas.openxmlformats.org/officeDocument/2006/relationships/hyperlink" Target="./11-deployment-and-configuration-management.docx" TargetMode="External"/><Relationship Id="rId12" Type="http://schemas.openxmlformats.org/officeDocument/2006/relationships/hyperlink" Target="./09-containerization-and-environments.docx" TargetMode="External"/><Relationship Id="rId13" Type="http://schemas.openxmlformats.org/officeDocument/2006/relationships/hyperlink" Target="./13-incident-response-and-troubleshooting.docx" TargetMode="External"/><Relationship Id="rId14" Type="http://schemas.openxmlformats.org/officeDocument/2006/relationships/hyperlink" Target="./04-backend-development.docx" TargetMode="External"/><Relationship Id="rId15" Type="http://schemas.openxmlformats.org/officeDocument/2006/relationships/hyperlink" Target="./12-observability-and-monitoring.docx" TargetMode="External"/><Relationship Id="rId16" Type="http://schemas.openxmlformats.org/officeDocument/2006/relationships/hyperlink" Target="./15-disaster-recovery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17. Infrastructure Platform Roadmap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