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FR-IDs,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/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the full relationship table and field-by-field reference this document deliberately doesn't grow to contain).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r>
        <w:rPr>
          <w:b/>
        </w:rPr>
        <w:t>Known seed-data gap — 2FA-locked demo accounts</w:t>
      </w:r>
      <w:r>
        <w:t xml:space="preserve">: </w:t>
      </w:r>
      <w:r>
        <w:rPr>
          <w:rFonts w:ascii="Consolas" w:hAnsi="Consolas"/>
          <w:sz w:val="20"/>
        </w:rPr>
        <w:t>seed.ts</w:t>
      </w:r>
      <w:r>
        <w:t xml:space="preserve"> sets </w:t>
      </w:r>
      <w:r>
        <w:rPr>
          <w:rFonts w:ascii="Consolas" w:hAnsi="Consolas"/>
          <w:sz w:val="20"/>
        </w:rPr>
        <w:t>twoFactorEnabled: true</w:t>
      </w:r>
      <w:r>
        <w:t xml:space="preserve"> for </w:t>
      </w:r>
      <w:r>
        <w:rPr>
          <w:rFonts w:ascii="Consolas" w:hAnsi="Consolas"/>
          <w:sz w:val="20"/>
        </w:rPr>
        <w:t>chris@chrispa.ug</w:t>
      </w:r>
      <w:r>
        <w:t xml:space="preserve">, </w:t>
      </w:r>
      <w:r>
        <w:rPr>
          <w:rFonts w:ascii="Consolas" w:hAnsi="Consolas"/>
          <w:sz w:val="20"/>
        </w:rPr>
        <w:t>patricia@chrispa.ug</w:t>
      </w:r>
      <w:r>
        <w:t xml:space="preserve">, and </w:t>
      </w:r>
      <w:r>
        <w:rPr>
          <w:rFonts w:ascii="Consolas" w:hAnsi="Consolas"/>
          <w:sz w:val="20"/>
        </w:rPr>
        <w:t>grace@chrispa.ug</w:t>
      </w:r>
      <w:r>
        <w:t xml:space="preserve"> but never seeds a matching </w:t>
      </w:r>
      <w:r>
        <w:rPr>
          <w:rFonts w:ascii="Consolas" w:hAnsi="Consolas"/>
          <w:sz w:val="20"/>
        </w:rPr>
        <w:t>twoFactorSecret</w:t>
      </w:r>
      <w:r>
        <w:t xml:space="preserve">, which — per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permanently locks those three accounts out of login with no self-service or admin-side recovery path. A </w:t>
      </w:r>
      <w:r>
        <w:rPr>
          <w:b/>
        </w:rPr>
        <w:t>fresh</w:t>
      </w:r>
      <w:r>
        <w:t xml:space="preserve"> seed (e.g. after </w:t>
      </w:r>
      <w:r>
        <w:rPr>
          <w:rFonts w:ascii="Consolas" w:hAnsi="Consolas"/>
          <w:sz w:val="20"/>
        </w:rPr>
        <w:t>prisma migrate reset &amp;&amp; npm run db:seed</w:t>
      </w:r>
      <w:r>
        <w:t xml:space="preserve">) reproduces this lockout on any machine, local or production; it's not a production-specific issue, it's just easy to miss locally if an already-diverged </w:t>
      </w:r>
      <w:r>
        <w:rPr>
          <w:rFonts w:ascii="Consolas" w:hAnsi="Consolas"/>
          <w:sz w:val="20"/>
        </w:rPr>
        <w:t>chris</w:t>
      </w:r>
      <w:r>
        <w:t xml:space="preserve"> row from before the </w:t>
      </w:r>
      <w:r>
        <w:rPr>
          <w:rFonts w:ascii="Consolas" w:hAnsi="Consolas"/>
          <w:sz w:val="20"/>
        </w:rPr>
        <w:t>twoFactorEnabled: true</w:t>
      </w:r>
      <w:r>
        <w:t xml:space="preserve"> change happens to already exist (</w:t>
      </w:r>
      <w:r>
        <w:rPr>
          <w:rFonts w:ascii="Consolas" w:hAnsi="Consolas"/>
          <w:sz w:val="20"/>
        </w:rPr>
        <w:t>upsert</w:t>
      </w:r>
      <w:r>
        <w:t xml:space="preserve"> won't touch it). The production database's three accounts were unlocked via a one-off bootstrap script — see that section for the pattern — but </w:t>
      </w:r>
      <w:r>
        <w:rPr>
          <w:rFonts w:ascii="Consolas" w:hAnsi="Consolas"/>
          <w:sz w:val="20"/>
        </w:rPr>
        <w:t>seed.ts</w:t>
      </w:r>
      <w:r>
        <w:t xml:space="preserve"> itself still produces this locked state as-is; fixing it at the source (seeding a real secret, or defaulting these three to </w:t>
      </w:r>
      <w:r>
        <w:rPr>
          <w:rFonts w:ascii="Consolas" w:hAnsi="Consolas"/>
          <w:sz w:val="20"/>
        </w:rPr>
        <w:t>twoFactorEnabled: false</w:t>
      </w:r>
      <w:r>
        <w:t xml:space="preserve"> like </w:t>
      </w:r>
      <w:r>
        <w:rPr>
          <w:rFonts w:ascii="Consolas" w:hAnsi="Consolas"/>
          <w:sz w:val="20"/>
        </w:rPr>
        <w:t>dennis</w:t>
      </w:r>
      <w:r>
        <w:t>/</w:t>
      </w:r>
      <w:r>
        <w:rPr>
          <w:rFonts w:ascii="Consolas" w:hAnsi="Consolas"/>
          <w:sz w:val="20"/>
        </w:rPr>
        <w:t>brenda</w:t>
      </w:r>
      <w:r>
        <w:t>) has not been done.</w:t>
      </w:r>
    </w:p>
    <w:p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suspensionReason</w:t>
      </w:r>
      <w:r>
        <w:t xml:space="preserve"> (added this session, commit </w:t>
      </w:r>
      <w:r>
        <w:rPr>
          <w:rFonts w:ascii="Consolas" w:hAnsi="Consolas"/>
          <w:sz w:val="20"/>
        </w:rPr>
        <w:t>3b5fc6a</w:t>
      </w:r>
      <w:r>
        <w:t xml:space="preserve">): a reversible, admin-triggered account hold, distinct from the existing terminal </w:t>
      </w:r>
      <w:r>
        <w:rPr>
          <w:rFonts w:ascii="Consolas" w:hAnsi="Consolas"/>
          <w:sz w:val="20"/>
        </w:rPr>
        <w:t>deletedAt</w:t>
      </w:r>
      <w:r>
        <w:t xml:space="preserve"> —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full feature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exactly how it and </w:t>
      </w:r>
      <w:r>
        <w:rPr>
          <w:rFonts w:ascii="Consolas" w:hAnsi="Consolas"/>
          <w:sz w:val="20"/>
        </w:rPr>
        <w:t>deletedAt</w:t>
      </w:r>
      <w:r>
        <w:t xml:space="preserve"> interact with </w:t>
      </w:r>
      <w:r>
        <w:rPr>
          <w:rFonts w:ascii="Consolas" w:hAnsi="Consolas"/>
          <w:sz w:val="20"/>
        </w:rPr>
        <w:t>AuthService.completeLogin()</w:t>
      </w:r>
      <w:r>
        <w:t>/</w:t>
      </w:r>
      <w:r>
        <w:rPr>
          <w:rFonts w:ascii="Consolas" w:hAnsi="Consolas"/>
          <w:sz w:val="20"/>
        </w:rPr>
        <w:t>refresh()</w:t>
      </w:r>
      <w:r>
        <w:t>.</w:t>
      </w:r>
    </w:p>
    <w:p>
      <w:r>
        <w:rPr>
          <w:rFonts w:ascii="Consolas" w:hAnsi="Consolas"/>
          <w:b/>
          <w:sz w:val="20"/>
        </w:rPr>
        <w:t>UserRole.DRIVER</w:t>
      </w:r>
      <w:r>
        <w:t xml:space="preserve"> (added this session, commit </w:t>
      </w:r>
      <w:r>
        <w:rPr>
          <w:rFonts w:ascii="Consolas" w:hAnsi="Consolas"/>
          <w:sz w:val="20"/>
        </w:rPr>
        <w:t>75b7cff</w:t>
      </w:r>
      <w:r>
        <w:t xml:space="preserve"> — Driver App, per user request, not in the original SRS): a staff login like any other (created via the same HR employee-login flow, now including </w:t>
      </w:r>
      <w:r>
        <w:rPr>
          <w:rFonts w:ascii="Consolas" w:hAnsi="Consolas"/>
          <w:sz w:val="20"/>
        </w:rPr>
        <w:t>DRIVER</w:t>
      </w:r>
      <w:r>
        <w:t xml:space="preserve"> in </w:t>
      </w:r>
      <w:r>
        <w:rPr>
          <w:rFonts w:ascii="Consolas" w:hAnsi="Consolas"/>
          <w:sz w:val="20"/>
        </w:rPr>
        <w:t>STAFF_ROLES</w:t>
      </w:r>
      <w:r>
        <w:t xml:space="preserve">), scoped to their own assigned </w:t>
      </w:r>
      <w:r>
        <w:rPr>
          <w:rFonts w:ascii="Consolas" w:hAnsi="Consolas"/>
          <w:sz w:val="20"/>
        </w:rPr>
        <w:t>Delivery</w:t>
      </w:r>
      <w:r>
        <w:t xml:space="preserve"> rows only.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RBAC boundary and </w:t>
      </w:r>
      <w:hyperlink r:id="rId12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how an admin assigns a driver and how a driver works a delivery.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shippingZoneName</w:t>
            </w:r>
            <w:r>
              <w:t xml:space="preserve"> — added this session, see below),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Shipping pricing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ShippingZone</w:t>
            </w:r>
            <w:r>
              <w:t xml:space="preserve"> — added this session (per user decision, not in the original SRS): admin-managed towns-to-fee mapping, one fee per </w:t>
            </w:r>
            <w:r>
              <w:rPr>
                <w:rFonts w:ascii="Consolas" w:hAnsi="Consolas"/>
                <w:sz w:val="20"/>
              </w:rPr>
              <w:t>DeliveryMethod</w:t>
            </w:r>
            <w:r>
              <w:t xml:space="preserve">, replacing the old flat per-method fee table. </w:t>
            </w:r>
            <w:r>
              <w:rPr>
                <w:rFonts w:ascii="Consolas" w:hAnsi="Consolas"/>
                <w:sz w:val="20"/>
              </w:rPr>
              <w:t>CheckoutService</w:t>
            </w:r>
            <w:r>
              <w:t xml:space="preserve"> matches the order's destination city against a zone's </w:t>
            </w:r>
            <w:r>
              <w:rPr>
                <w:rFonts w:ascii="Consolas" w:hAnsi="Consolas"/>
                <w:sz w:val="20"/>
              </w:rPr>
              <w:t>towns</w:t>
            </w:r>
            <w:r>
              <w:t xml:space="preserve"> and charges that zone's fee for the chosen method, falling back to whichever zone has </w:t>
            </w:r>
            <w:r>
              <w:rPr>
                <w:rFonts w:ascii="Consolas" w:hAnsi="Consolas"/>
                <w:sz w:val="20"/>
              </w:rPr>
              <w:t>isDefault: true</w:t>
            </w:r>
            <w:r>
              <w:t xml:space="preserve"> (seeded as "Rest of Uganda") when nothing matches. Seeded with 7 zones, priced by rough real-world distance from the Kampala warehouse (per explicit user correction — Central/Eastern/Western/Northern/Southern must each price differently, not share one flat "upcountry" rate): Kampala Metro, Central Uganda (Rest), Eastern, Southern, Western, Northern (farthest — no Same-day offered, </w:t>
            </w:r>
            <w:r>
              <w:rPr>
                <w:rFonts w:ascii="Consolas" w:hAnsi="Consolas"/>
                <w:sz w:val="20"/>
              </w:rPr>
              <w:t>null</w:t>
            </w:r>
            <w:r>
              <w:t xml:space="preserve">), and the "Rest of Uganda" fallback — see </w:t>
            </w:r>
            <w:hyperlink r:id="rId12">
              <w:r>
                <w:rPr>
                  <w:color w:val="0563C1"/>
                  <w:u w:val="single"/>
                </w:rPr>
                <w:t xml:space="preserve">`16-user-and-administrator-procedures.md`</w:t>
              </w:r>
            </w:hyperlink>
            <w:r>
              <w:t xml:space="preserve"> for how an admin edits zones/rates and </w:t>
            </w:r>
            <w:hyperlink r:id="rId10">
              <w:r>
                <w:rPr>
                  <w:color w:val="0563C1"/>
                  <w:u w:val="single"/>
                </w:rPr>
                <w:t xml:space="preserve">`23-data-dictionary.md`</w:t>
              </w:r>
            </w:hyperlink>
            <w:r>
              <w:t xml:space="preserve"> for the full field list</w:t>
            </w:r>
          </w:p>
        </w:tc>
      </w:tr>
      <w:tr>
        <w:tc>
          <w:tcPr>
            <w:tcW w:type="dxa" w:w="4320"/>
          </w:tcPr>
          <w:p>
            <w:r>
              <w:t>Delivery (Driver App)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Delivery</w:t>
            </w:r>
            <w:r>
              <w:t xml:space="preserve"> — 1:1 with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, driver assignment + GPS pickup/delivery tracking (each snapshotted with a reverse-geocoded place name, added this session — see </w:t>
            </w:r>
            <w:hyperlink r:id="rId10">
              <w:r>
                <w:rPr>
                  <w:color w:val="0563C1"/>
                  <w:u w:val="single"/>
                </w:rPr>
                <w:t xml:space="preserve">`23-data-dictionary.md`</w:t>
              </w:r>
            </w:hyperlink>
            <w:r>
              <w:t xml:space="preserve">) + </w:t>
            </w:r>
            <w:r>
              <w:rPr>
                <w:rFonts w:ascii="Consolas" w:hAnsi="Consolas"/>
                <w:sz w:val="20"/>
              </w:rPr>
              <w:t>priority</w:t>
            </w:r>
            <w:r>
              <w:t xml:space="preserve"> (commit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), not in the original SRS (per user request, see </w:t>
            </w:r>
            <w:hyperlink r:id="rId11">
              <w:r>
                <w:rPr>
                  <w:color w:val="0563C1"/>
                  <w:u w:val="single"/>
                </w:rPr>
                <w:t xml:space="preserve">`07-authentication-and-authorization.md`</w:t>
              </w:r>
            </w:hyperlink>
            <w:r>
              <w:t xml:space="preserve"> for the new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role and </w:t>
            </w:r>
            <w:hyperlink r:id="rId12">
              <w:r>
                <w:rPr>
                  <w:color w:val="0563C1"/>
                  <w:u w:val="single"/>
                </w:rPr>
                <w:t xml:space="preserve">`16-user-and-administrator-procedures.md`</w:t>
              </w:r>
            </w:hyperlink>
            <w:r>
              <w:t xml:space="preserve"> for how it's used). </w:t>
            </w:r>
            <w:r>
              <w:rPr>
                <w:rFonts w:ascii="Consolas" w:hAnsi="Consolas"/>
                <w:sz w:val="20"/>
              </w:rPr>
              <w:t>User.driverStatus</w:t>
            </w:r>
            <w:r>
              <w:t xml:space="preserve"> (self-reported availability,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) lives on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 itself, not this table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13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4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7-authentication-and-authorization.docx" TargetMode="External"/><Relationship Id="rId12" Type="http://schemas.openxmlformats.org/officeDocument/2006/relationships/hyperlink" Target="./16-user-and-administrator-procedures.docx" TargetMode="External"/><Relationship Id="rId13" Type="http://schemas.openxmlformats.org/officeDocument/2006/relationships/hyperlink" Target="./15-disaster-recovery.docx" TargetMode="External"/><Relationship Id="rId14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