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23. Data Dictionary</w:t>
      </w:r>
    </w:p>
    <w:p>
      <w:r>
        <w:t xml:space="preserve">Full field-by-field reference for every model and enum in </w:t>
      </w:r>
      <w:r>
        <w:rPr>
          <w:rFonts w:ascii="Consolas" w:hAnsi="Consolas"/>
          <w:sz w:val="20"/>
        </w:rPr>
        <w:t>apps/api/prisma/schema.prisma</w:t>
      </w:r>
      <w:r>
        <w:t xml:space="preserve">, grouped by the same domain sections as </w:t>
      </w:r>
      <w:hyperlink r:id="rId9">
        <w:r>
          <w:rPr>
            <w:color w:val="0563C1"/>
            <w:u w:val="single"/>
          </w:rPr>
          <w:t xml:space="preserve">`03-database-design.md`</w:t>
        </w:r>
      </w:hyperlink>
      <w:r>
        <w:t xml:space="preserve">'s schema-inventory table. See also </w:t>
      </w:r>
      <w:hyperlink r:id="rId10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for how these models relate to each other.</w:t>
      </w:r>
    </w:p>
    <w:p>
      <w:r>
        <w:rPr>
          <w:b/>
        </w:rPr>
        <w:t>Freshness note</w:t>
      </w:r>
      <w:r>
        <w:t xml:space="preserve">: generated against commit </w:t>
      </w:r>
      <w:r>
        <w:rPr>
          <w:rFonts w:ascii="Consolas" w:hAnsi="Consolas"/>
          <w:sz w:val="20"/>
        </w:rPr>
        <w:t>c917b38</w:t>
      </w:r>
      <w:r>
        <w:t xml:space="preserve"> (2026-08-17) — a point-in-time artifact, not auto-synced to the live schema; treat any discrepancy with the current </w:t>
      </w:r>
      <w:r>
        <w:rPr>
          <w:rFonts w:ascii="Consolas" w:hAnsi="Consolas"/>
          <w:sz w:val="20"/>
        </w:rPr>
        <w:t>schema.prisma</w:t>
      </w:r>
      <w:r>
        <w:t xml:space="preserve"> as this document having drifted, not the code being wrong.</w:t>
      </w:r>
    </w:p>
    <w:p>
      <w:r>
        <w:rPr>
          <w:b/>
        </w:rPr>
        <w:t>Conventions used throughout</w:t>
      </w:r>
      <w:r>
        <w:t xml:space="preserve"> (see </w:t>
      </w:r>
      <w:r>
        <w:rPr>
          <w:rFonts w:ascii="Consolas" w:hAnsi="Consolas"/>
          <w:sz w:val="20"/>
        </w:rPr>
        <w:t>schema.prisma</w:t>
      </w:r>
      <w:r>
        <w:t xml:space="preserve">'s own header comment and </w:t>
      </w:r>
      <w:r>
        <w:rPr>
          <w:rFonts w:ascii="Consolas" w:hAnsi="Consolas"/>
          <w:sz w:val="20"/>
        </w:rPr>
        <w:t>CLAUDE.md</w:t>
      </w:r>
      <w:r>
        <w:t>): every primary key is a client-generated UUID (</w:t>
      </w:r>
      <w:r>
        <w:rPr>
          <w:rFonts w:ascii="Consolas" w:hAnsi="Consolas"/>
          <w:sz w:val="20"/>
        </w:rPr>
        <w:t>id String @id @default(uuid())</w:t>
      </w:r>
      <w:r>
        <w:t xml:space="preserve">, omitted from "Notes" below unless it deviates); every </w:t>
      </w:r>
      <w:r>
        <w:rPr>
          <w:rFonts w:ascii="Consolas" w:hAnsi="Consolas"/>
          <w:sz w:val="20"/>
        </w:rPr>
        <w:t>DateTime</w:t>
      </w:r>
      <w:r>
        <w:t xml:space="preserve"> is stored </w:t>
      </w:r>
      <w:r>
        <w:rPr>
          <w:rFonts w:ascii="Consolas" w:hAnsi="Consolas"/>
          <w:sz w:val="20"/>
        </w:rPr>
        <w:t>@db.Timestamptz(3)</w:t>
      </w:r>
      <w:r>
        <w:t xml:space="preserve"> (UTC, never a timezone-naive </w:t>
      </w:r>
      <w:r>
        <w:rPr>
          <w:rFonts w:ascii="Consolas" w:hAnsi="Consolas"/>
          <w:sz w:val="20"/>
        </w:rPr>
        <w:t>timestamp</w:t>
      </w:r>
      <w:r>
        <w:t xml:space="preserve">); non-unique </w:t>
      </w:r>
      <w:r>
        <w:rPr>
          <w:rFonts w:ascii="Consolas" w:hAnsi="Consolas"/>
          <w:sz w:val="20"/>
        </w:rPr>
        <w:t>@@index</w:t>
      </w:r>
      <w:r>
        <w:t xml:space="preserve"> blocks exist on every foreign key not already covered by a </w:t>
      </w:r>
      <w:r>
        <w:rPr>
          <w:rFonts w:ascii="Consolas" w:hAnsi="Consolas"/>
          <w:sz w:val="20"/>
        </w:rPr>
        <w:t>@unique</w:t>
      </w:r>
      <w:r>
        <w:t>/</w:t>
      </w:r>
      <w:r>
        <w:rPr>
          <w:rFonts w:ascii="Consolas" w:hAnsi="Consolas"/>
          <w:sz w:val="20"/>
        </w:rPr>
        <w:t>@@unique</w:t>
      </w:r>
      <w:r>
        <w:t xml:space="preserve"> (Postgres doesn't add these automatically, unlike some other connectors) — index annotations are not repeated per-field below unless they're compound/notable.</w:t>
      </w:r>
    </w:p>
    <w:p>
      <w:pPr>
        <w:pStyle w:val="Heading2"/>
      </w:pPr>
      <w:r>
        <w:t>Identity &amp; auth</w:t>
      </w:r>
    </w:p>
    <w:p>
      <w:pPr>
        <w:pStyle w:val="Heading3"/>
      </w:pPr>
      <w:r>
        <w:t>User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; nulled on delete (see </w:t>
            </w:r>
            <w:r>
              <w:rPr>
                <w:rFonts w:ascii="Consolas" w:hAnsi="Consolas"/>
                <w:sz w:val="20"/>
              </w:rPr>
              <w:t>deletedAt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nulled on delete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preferredName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avatarUrl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Pasted image URL — no upload/object-storage pipeline</w:t>
            </w:r>
          </w:p>
        </w:tc>
      </w:tr>
      <w:tr>
        <w:tc>
          <w:tcPr>
            <w:tcW w:type="dxa" w:w="1728"/>
          </w:tcPr>
          <w:p>
            <w:r>
              <w:t>passwordHash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Null for a Google-only account, or once deleted</w:t>
            </w:r>
          </w:p>
        </w:tc>
      </w:tr>
      <w:tr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CUSTOMER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CustomerTier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dateOfBirth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gender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wellnessPreferences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[]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twoFactorEnabled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TOTP 2FA, enforced at login</w:t>
            </w:r>
          </w:p>
        </w:tc>
      </w:tr>
      <w:tr>
        <w:tc>
          <w:tcPr>
            <w:tcW w:type="dxa" w:w="1728"/>
          </w:tcPr>
          <w:p>
            <w:r>
              <w:t>twoFactorSecret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Encrypted at rest (AES-256-GCM) — verifying TOTP needs it back, so it can't be one-way hashed</w:t>
            </w:r>
          </w:p>
        </w:tc>
      </w:tr>
      <w:tr>
        <w:tc>
          <w:tcPr>
            <w:tcW w:type="dxa" w:w="1728"/>
          </w:tcPr>
          <w:p>
            <w:r>
              <w:t>biometricEnabled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True once ≥1 WebAuthnCredential exists</w:t>
            </w:r>
          </w:p>
        </w:tc>
      </w:tr>
      <w:tr>
        <w:tc>
          <w:tcPr>
            <w:tcW w:type="dxa" w:w="1728"/>
          </w:tcPr>
          <w:p>
            <w:r>
              <w:t>notifyOrderUpdatesSms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notifyOrderUpdatesEmail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notifyPromotions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notifyPush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notifyLoginAlerts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Delivered in-app only, no SMS/email provider</w:t>
            </w:r>
          </w:p>
        </w:tc>
      </w:tr>
      <w:tr>
        <w:tc>
          <w:tcPr>
            <w:tcW w:type="dxa" w:w="1728"/>
          </w:tcPr>
          <w:p>
            <w:r>
              <w:t>mustChangePassword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Set on staff temp-password issuance; enforced globally by </w:t>
            </w:r>
            <w:r>
              <w:rPr>
                <w:rFonts w:ascii="Consolas" w:hAnsi="Consolas"/>
                <w:sz w:val="20"/>
              </w:rPr>
              <w:t>MustChangePasswordGuard</w:t>
            </w:r>
          </w:p>
        </w:tc>
      </w:tr>
      <w:tr>
        <w:tc>
          <w:tcPr>
            <w:tcW w:type="dxa" w:w="1728"/>
          </w:tcPr>
          <w:p>
            <w:r>
              <w:t>emailVerifiedAt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once registration OTP (email) is confirmed</w:t>
            </w:r>
          </w:p>
        </w:tc>
      </w:tr>
      <w:tr>
        <w:tc>
          <w:tcPr>
            <w:tcW w:type="dxa" w:w="1728"/>
          </w:tcPr>
          <w:p>
            <w:r>
              <w:t>phoneVerifiedAt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once registration OTP (SMS) is confirmed — SMS verification is temporarily excluded from the registration/login gate (sandbox-only Africa's Talking credentials), so this stays unset for most accounts today</w:t>
            </w:r>
          </w:p>
        </w:tc>
      </w:tr>
      <w:tr>
        <w:tc>
          <w:tcPr>
            <w:tcW w:type="dxa" w:w="1728"/>
          </w:tcPr>
          <w:p>
            <w:r>
              <w:t>googleId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set on first Google sign-in</w:t>
            </w:r>
          </w:p>
        </w:tc>
      </w:tr>
      <w:tr>
        <w:tc>
          <w:tcPr>
            <w:tcW w:type="dxa" w:w="1728"/>
          </w:tcPr>
          <w:p>
            <w:r>
              <w:t>suspendedAt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Admin-triggered, reversible hold — see </w:t>
            </w:r>
            <w:r>
              <w:rPr>
                <w:rFonts w:ascii="Consolas" w:hAnsi="Consolas"/>
                <w:sz w:val="20"/>
              </w:rPr>
              <w:t>CrmService.suspend()</w:t>
            </w:r>
            <w:r>
              <w:t xml:space="preserve">. Blocks login at </w:t>
            </w:r>
            <w:r>
              <w:rPr>
                <w:rFonts w:ascii="Consolas" w:hAnsi="Consolas"/>
                <w:sz w:val="20"/>
              </w:rPr>
              <w:t>completeLogin()</w:t>
            </w:r>
          </w:p>
        </w:tc>
      </w:tr>
      <w:tr>
        <w:tc>
          <w:tcPr>
            <w:tcW w:type="dxa" w:w="1728"/>
          </w:tcPr>
          <w:p>
            <w:r>
              <w:t>suspensionReason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Free text, shown in the admin audit log</w:t>
            </w:r>
          </w:p>
        </w:tc>
      </w:tr>
      <w:tr>
        <w:tc>
          <w:tcPr>
            <w:tcW w:type="dxa" w:w="1728"/>
          </w:tcPr>
          <w:p>
            <w:r>
              <w:t>deletedAt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Terminal — FR-17.4. Row survives, PII scrubbed</w:t>
            </w:r>
          </w:p>
        </w:tc>
      </w:tr>
      <w:tr>
        <w:tc>
          <w:tcPr>
            <w:tcW w:type="dxa" w:w="1728"/>
          </w:tcPr>
          <w:p>
            <w:r>
              <w:t>driverStatus</w:t>
            </w:r>
          </w:p>
        </w:tc>
        <w:tc>
          <w:tcPr>
            <w:tcW w:type="dxa" w:w="1728"/>
          </w:tcPr>
          <w:p>
            <w:r>
              <w:t>DriverStatus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OFFLINE</w:t>
            </w:r>
          </w:p>
        </w:tc>
        <w:tc>
          <w:tcPr>
            <w:tcW w:type="dxa" w:w="1728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only meaningful for </w:t>
            </w:r>
            <w:r>
              <w:rPr>
                <w:rFonts w:ascii="Consolas" w:hAnsi="Consolas"/>
                <w:sz w:val="20"/>
              </w:rPr>
              <w:t>role: DRIVER</w:t>
            </w:r>
            <w:r>
              <w:t xml:space="preserve">; self-reported via </w:t>
            </w:r>
            <w:r>
              <w:rPr>
                <w:rFonts w:ascii="Consolas" w:hAnsi="Consolas"/>
                <w:sz w:val="20"/>
              </w:rPr>
              <w:t>PATCH /driver/status</w:t>
            </w:r>
            <w:r>
              <w:t xml:space="preserve">, never derived from the driver's own </w:t>
            </w:r>
            <w:r>
              <w:rPr>
                <w:rFonts w:ascii="Consolas" w:hAnsi="Consolas"/>
                <w:sz w:val="20"/>
              </w:rPr>
              <w:t>Delivery</w:t>
            </w:r>
            <w:r>
              <w:t xml:space="preserve"> rows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@updatedAt</w:t>
            </w:r>
          </w:p>
        </w:tc>
      </w:tr>
    </w:tbl>
    <w:p>
      <w:pPr>
        <w:pStyle w:val="Heading3"/>
      </w:pPr>
      <w:r>
        <w:t>RefreshToken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tokenHash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sha256</w:t>
            </w:r>
            <w:r>
              <w:t>, not bcrypt — bcrypt truncates at 72 bytes and these JWTs share a long common prefix per-user, which silently defeated rotation/revocation before this was caught</w:t>
            </w:r>
          </w:p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revokedAt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on logout, refresh (rotation), or admin suspend/delete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@@index([userId, revokedAt])</w:t>
            </w:r>
            <w:r>
              <w:t xml:space="preserve"> matches </w:t>
            </w:r>
            <w:r>
              <w:rPr>
                <w:rFonts w:ascii="Consolas" w:hAnsi="Consolas"/>
                <w:sz w:val="20"/>
              </w:rPr>
              <w:t>refresh()</w:t>
            </w:r>
            <w:r>
              <w:t>'s lookup</w:t>
            </w:r>
          </w:p>
        </w:tc>
      </w:tr>
    </w:tbl>
    <w:p>
      <w:pPr>
        <w:pStyle w:val="Heading3"/>
      </w:pPr>
      <w:r>
        <w:t>WebAuthnCredential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credentialId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publicKey</w:t>
            </w:r>
          </w:p>
        </w:tc>
        <w:tc>
          <w:tcPr>
            <w:tcW w:type="dxa" w:w="1728"/>
          </w:tcPr>
          <w:p>
            <w:r>
              <w:t>Bytes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Never anything biometric itself — that never leaves the device</w:t>
            </w:r>
          </w:p>
        </w:tc>
      </w:tr>
      <w:tr>
        <w:tc>
          <w:tcPr>
            <w:tcW w:type="dxa" w:w="1728"/>
          </w:tcPr>
          <w:p>
            <w:r>
              <w:t>counter</w:t>
            </w:r>
          </w:p>
        </w:tc>
        <w:tc>
          <w:tcPr>
            <w:tcW w:type="dxa" w:w="1728"/>
          </w:tcPr>
          <w:p>
            <w:r>
              <w:t>BigInt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Anti-replay counter</w:t>
            </w:r>
          </w:p>
        </w:tc>
      </w:tr>
      <w:tr>
        <w:tc>
          <w:tcPr>
            <w:tcW w:type="dxa" w:w="1728"/>
          </w:tcPr>
          <w:p>
            <w:r>
              <w:t>deviceLabel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lastUsedAt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LoginEvent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ipAddress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userAgent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isNewDevice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>Lightweight (ip, userAgent) fingerprint match, not rigorous device identity</w:t>
            </w:r>
          </w:p>
        </w:tc>
      </w:tr>
      <w:tr>
        <w:tc>
          <w:tcPr>
            <w:tcW w:type="dxa" w:w="1728"/>
          </w:tcPr>
          <w:p>
            <w:r>
              <w:t>acknowledgedAt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Dismissal of the in-app alert banner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>One row per completed login (not token refresh)</w:t>
            </w:r>
          </w:p>
        </w:tc>
      </w:tr>
    </w:tbl>
    <w:p>
      <w:pPr>
        <w:pStyle w:val="Heading3"/>
      </w:pPr>
      <w:r>
        <w:t>OtpCode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channel</w:t>
            </w:r>
          </w:p>
        </w:tc>
        <w:tc>
          <w:tcPr>
            <w:tcW w:type="dxa" w:w="1728"/>
          </w:tcPr>
          <w:p>
            <w:r>
              <w:t>OtpChannel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EMAIL or SMS</w:t>
            </w:r>
          </w:p>
        </w:tc>
      </w:tr>
      <w:tr>
        <w:tc>
          <w:tcPr>
            <w:tcW w:type="dxa" w:w="1728"/>
          </w:tcPr>
          <w:p>
            <w:r>
              <w:t>purpose</w:t>
            </w:r>
          </w:p>
        </w:tc>
        <w:tc>
          <w:tcPr>
            <w:tcW w:type="dxa" w:w="1728"/>
          </w:tcPr>
          <w:p>
            <w:r>
              <w:t>OtpPurpose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REGISTRATION</w:t>
            </w:r>
          </w:p>
        </w:tc>
        <w:tc>
          <w:tcPr>
            <w:tcW w:type="dxa" w:w="1728"/>
          </w:tcPr>
          <w:p>
            <w:r>
              <w:t>Only value in use today</w:t>
            </w:r>
          </w:p>
        </w:tc>
      </w:tr>
      <w:tr>
        <w:tc>
          <w:tcPr>
            <w:tcW w:type="dxa" w:w="1728"/>
          </w:tcPr>
          <w:p>
            <w:r>
              <w:t>destination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 of the email/phone at issue time, not a live join to User</w:t>
            </w:r>
          </w:p>
        </w:tc>
      </w:tr>
      <w:tr>
        <w:tc>
          <w:tcPr>
            <w:tcW w:type="dxa" w:w="1728"/>
          </w:tcPr>
          <w:p>
            <w:r>
              <w:t>codeHash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sha256</w:t>
            </w:r>
            <w:r>
              <w:t xml:space="preserve">, same convention as </w:t>
            </w:r>
            <w:r>
              <w:rPr>
                <w:rFonts w:ascii="Consolas" w:hAnsi="Consolas"/>
                <w:sz w:val="20"/>
              </w:rPr>
              <w:t>RefreshToken.tokenHash</w:t>
            </w:r>
          </w:p>
        </w:tc>
      </w:tr>
      <w:tr>
        <w:tc>
          <w:tcPr>
            <w:tcW w:type="dxa" w:w="1728"/>
          </w:tcPr>
          <w:p>
            <w:r>
              <w:t>attempts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Locks out at 5</w:t>
            </w:r>
          </w:p>
        </w:tc>
      </w:tr>
      <w:tr>
        <w:tc>
          <w:tcPr>
            <w:tcW w:type="dxa" w:w="1728"/>
          </w:tcPr>
          <w:p>
            <w:r>
              <w:t>consumedAt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OTP_TTL_MINUTES</w:t>
            </w:r>
            <w:r>
              <w:t>, default 10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@@index([userId, channel, purpose])</w:t>
            </w:r>
          </w:p>
        </w:tc>
      </w:tr>
    </w:tbl>
    <w:p>
      <w:pPr>
        <w:pStyle w:val="Heading3"/>
      </w:pPr>
      <w:r>
        <w:t>Notification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NotificationType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NEWSLETTER</w:t>
            </w:r>
            <w:r>
              <w:t xml:space="preserve"> in use — deliberately generic for future reuse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linkUrl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readAt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Customer account</w:t>
      </w:r>
    </w:p>
    <w:p>
      <w:pPr>
        <w:pStyle w:val="Heading3"/>
      </w:pPr>
      <w:r>
        <w:t>Address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recipient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line1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"Kampala"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AddressType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SHIPPING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isDefault</w:t>
            </w:r>
            <w:r>
              <w:t xml:space="preserve"> is scoped per type — one default shipping, one default billing</w:t>
            </w:r>
          </w:p>
        </w:tc>
      </w:tr>
      <w:tr>
        <w:tc>
          <w:tcPr>
            <w:tcW w:type="dxa" w:w="1728"/>
          </w:tcPr>
          <w:p>
            <w:r>
              <w:t>isDefault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PaymentMethod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PaymentMethodType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MOBILE_MONEY</w:t>
            </w:r>
            <w:r>
              <w:t xml:space="preserve"> fully supported; </w:t>
            </w:r>
            <w:r>
              <w:rPr>
                <w:rFonts w:ascii="Consolas" w:hAnsi="Consolas"/>
                <w:sz w:val="20"/>
              </w:rPr>
              <w:t>CARD</w:t>
            </w:r>
            <w:r>
              <w:t xml:space="preserve"> rejected with 501</w:t>
            </w:r>
          </w:p>
        </w:tc>
      </w:tr>
      <w:tr>
        <w:tc>
          <w:tcPr>
            <w:tcW w:type="dxa" w:w="1728"/>
          </w:tcPr>
          <w:p>
            <w:r>
              <w:t>maskedIdentifier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gatewayToken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Never a raw card number — no PCI-DSS gateway</w:t>
            </w:r>
          </w:p>
        </w:tc>
      </w:tr>
      <w:tr>
        <w:tc>
          <w:tcPr>
            <w:tcW w:type="dxa" w:w="1728"/>
          </w:tcPr>
          <w:p>
            <w:r>
              <w:t>isDefault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Single flag across all of a user's methods (unlike </w:t>
            </w:r>
            <w:r>
              <w:rPr>
                <w:rFonts w:ascii="Consolas" w:hAnsi="Consolas"/>
                <w:sz w:val="20"/>
              </w:rPr>
              <w:t>Address.isDefault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Catalog</w:t>
      </w:r>
    </w:p>
    <w:p>
      <w:pPr>
        <w:pStyle w:val="Heading3"/>
      </w:pPr>
      <w:r>
        <w:t>ProductLine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unitSize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WellnessTag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</w:tbl>
    <w:p>
      <w:pPr>
        <w:pStyle w:val="Heading3"/>
      </w:pPr>
      <w:r>
        <w:t>Product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sku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productLineId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ProductLine</w:t>
            </w:r>
          </w:p>
        </w:tc>
      </w:tr>
      <w:tr>
        <w:tc>
          <w:tcPr>
            <w:tcW w:type="dxa" w:w="1728"/>
          </w:tcPr>
          <w:p>
            <w:r>
              <w:t>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Vendor; null = ChrisPa's own product</w:t>
            </w:r>
          </w:p>
        </w:tc>
      </w:tr>
      <w:tr>
        <w:tc>
          <w:tcPr>
            <w:tcW w:type="dxa" w:w="1728"/>
          </w:tcPr>
          <w:p>
            <w:r>
              <w:t>costUgx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COGS basis; null skips COGS posting rather than assuming zero cost</w:t>
            </w:r>
          </w:p>
        </w:tc>
      </w:tr>
      <w:tr>
        <w:tc>
          <w:tcPr>
            <w:tcW w:type="dxa" w:w="1728"/>
          </w:tcPr>
          <w:p>
            <w:r>
              <w:t>stockQty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Denormalized read cache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InventoryRecord</w:t>
            </w:r>
            <w:r>
              <w:t xml:space="preserve"> is the source of truth; nothing keeps this in sync automatically yet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ProductStatus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Archive, never hard-delete, once real order history exists</w:t>
            </w:r>
          </w:p>
        </w:tc>
      </w:tr>
      <w:tr>
        <w:tc>
          <w:tcPr>
            <w:tcW w:type="dxa" w:w="1728"/>
          </w:tcPr>
          <w:p>
            <w:r>
              <w:t>scentOrFlavorNotes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directions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healthBenefits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seoTitle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seoMeta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@@index([productLineId])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@@index([status, productLineId])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@@index([vendorId])</w:t>
            </w:r>
          </w:p>
        </w:tc>
      </w:tr>
    </w:tbl>
    <w:p>
      <w:pPr>
        <w:pStyle w:val="Heading3"/>
      </w:pPr>
      <w:r>
        <w:t>ProductWellnessTag</w:t>
      </w:r>
    </w:p>
    <w:p>
      <w:r>
        <w:t xml:space="preserve">Join table. Composite PK </w:t>
      </w:r>
      <w:r>
        <w:rPr>
          <w:rFonts w:ascii="Consolas" w:hAnsi="Consolas"/>
          <w:sz w:val="20"/>
        </w:rPr>
        <w:t>(productId, wellnessTagId)</w:t>
      </w:r>
      <w:r>
        <w:t>, both Cascade.</w:t>
      </w:r>
    </w:p>
    <w:p>
      <w:pPr>
        <w:pStyle w:val="Heading3"/>
      </w:pPr>
      <w:r>
        <w:t>ProductMedia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Real upload (</w:t>
            </w:r>
            <w:r>
              <w:rPr>
                <w:rFonts w:ascii="Consolas" w:hAnsi="Consolas"/>
                <w:sz w:val="20"/>
              </w:rPr>
              <w:t>POST /admin/products/media/upload</w:t>
            </w:r>
            <w:r>
              <w:t>), local disk, no CDN</w:t>
            </w:r>
          </w:p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Variant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size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priceDelta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Added to </w:t>
            </w:r>
            <w:r>
              <w:rPr>
                <w:rFonts w:ascii="Consolas" w:hAnsi="Consolas"/>
                <w:sz w:val="20"/>
              </w:rPr>
              <w:t>Product.priceUgx</w:t>
            </w:r>
          </w:p>
        </w:tc>
      </w:tr>
      <w:tr>
        <w:tc>
          <w:tcPr>
            <w:tcW w:type="dxa" w:w="1728"/>
          </w:tcPr>
          <w:p>
            <w:r>
              <w:t>stockQty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Same denormalized-cache caveat as </w:t>
            </w:r>
            <w:r>
              <w:rPr>
                <w:rFonts w:ascii="Consolas" w:hAnsi="Consolas"/>
                <w:sz w:val="20"/>
              </w:rPr>
              <w:t>Product.stockQty</w:t>
            </w:r>
          </w:p>
        </w:tc>
      </w:tr>
    </w:tbl>
    <w:p>
      <w:pPr>
        <w:pStyle w:val="Heading2"/>
      </w:pPr>
      <w:r>
        <w:t>Inventory</w:t>
      </w:r>
    </w:p>
    <w:p>
      <w:pPr>
        <w:pStyle w:val="Heading3"/>
      </w:pPr>
      <w:r>
        <w:t>Warehouse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location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InventoryRecord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warehouseId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Warehouse, Cascade</w:t>
            </w:r>
          </w:p>
        </w:tc>
      </w:tr>
      <w:tr>
        <w:tc>
          <w:tcPr>
            <w:tcW w:type="dxa" w:w="1728"/>
          </w:tcPr>
          <w:p>
            <w:r>
              <w:t>batchLot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Checkout decrements FIFO across batches</w:t>
            </w:r>
          </w:p>
        </w:tc>
      </w:tr>
      <w:tr>
        <w:tc>
          <w:tcPr>
            <w:tcW w:type="dxa" w:w="1728"/>
          </w:tcPr>
          <w:p>
            <w:r>
              <w:t>qtyOnHand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Source of truth for stock, per product × warehouse × batch</w:t>
            </w:r>
          </w:p>
        </w:tc>
      </w:tr>
      <w:tr>
        <w:tc>
          <w:tcPr>
            <w:tcW w:type="dxa" w:w="1728"/>
          </w:tcPr>
          <w:p>
            <w:r>
              <w:t>reorderPoint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Drives low-stock admin flags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@@unique([productId, warehouseId, batchLot])</w:t>
            </w:r>
            <w:r>
              <w:t xml:space="preserve">; </w:t>
            </w:r>
            <w:r>
              <w:rPr>
                <w:rFonts w:ascii="Consolas" w:hAnsi="Consolas"/>
                <w:sz w:val="20"/>
              </w:rPr>
              <w:t>@@index([warehouseId])</w:t>
            </w:r>
          </w:p>
        </w:tc>
      </w:tr>
    </w:tbl>
    <w:p>
      <w:pPr>
        <w:pStyle w:val="Heading2"/>
      </w:pPr>
      <w:r>
        <w:t>Cart &amp; checkout</w:t>
      </w:r>
    </w:p>
    <w:p>
      <w:pPr>
        <w:pStyle w:val="Heading3"/>
      </w:pPr>
      <w:r>
        <w:t>Cart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User, Cascade; null for a guest cart</w:t>
            </w:r>
          </w:p>
        </w:tc>
      </w:tr>
      <w:tr>
        <w:tc>
          <w:tcPr>
            <w:tcW w:type="dxa" w:w="1728"/>
          </w:tcPr>
          <w:p>
            <w:r>
              <w:t>sessionId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; guest-cart identifier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CartItem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cartId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Cart,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</w:t>
            </w:r>
          </w:p>
        </w:tc>
      </w:tr>
      <w:tr>
        <w:tc>
          <w:tcPr>
            <w:tcW w:type="dxa" w:w="1728"/>
          </w:tcPr>
          <w:p>
            <w:r>
              <w:t>variantId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Variant</w:t>
            </w:r>
          </w:p>
        </w:tc>
      </w:tr>
      <w:tr>
        <w:tc>
          <w:tcPr>
            <w:tcW w:type="dxa" w:w="1728"/>
          </w:tcPr>
          <w:p>
            <w:r>
              <w:t>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@@unique([cartId, productId, variantId])</w:t>
            </w:r>
            <w:r>
              <w:t xml:space="preserve"> — NULL-is-distinct means this doesn't dedupe null-variant rows; handled explicitly in </w:t>
            </w:r>
            <w:r>
              <w:rPr>
                <w:rFonts w:ascii="Consolas" w:hAnsi="Consolas"/>
                <w:sz w:val="20"/>
              </w:rPr>
              <w:t>CartService.addItem()</w:t>
            </w:r>
          </w:p>
        </w:tc>
      </w:tr>
    </w:tbl>
    <w:p>
      <w:pPr>
        <w:pStyle w:val="Heading3"/>
      </w:pPr>
      <w:r>
        <w:t>Order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OrderStatus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>
            <w:r>
              <w:t xml:space="preserve">State machine — see </w:t>
            </w:r>
            <w:r>
              <w:rPr>
                <w:rFonts w:ascii="Consolas" w:hAnsi="Consolas"/>
                <w:sz w:val="20"/>
              </w:rPr>
              <w:t>ALLOWED_TRANSITIONS</w:t>
            </w:r>
            <w:r>
              <w:t xml:space="preserve"> in </w:t>
            </w:r>
            <w:r>
              <w:rPr>
                <w:rFonts w:ascii="Consolas" w:hAnsi="Consolas"/>
                <w:sz w:val="20"/>
              </w:rPr>
              <w:t>orders.service.ts</w:t>
            </w:r>
          </w:p>
        </w:tc>
      </w:tr>
      <w:tr>
        <w:tc>
          <w:tcPr>
            <w:tcW w:type="dxa" w:w="1728"/>
          </w:tcPr>
          <w:p>
            <w:r>
              <w:t>warehouseId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Warehouse</w:t>
            </w:r>
          </w:p>
        </w:tc>
      </w:tr>
      <w:tr>
        <w:tc>
          <w:tcPr>
            <w:tcW w:type="dxa" w:w="1728"/>
          </w:tcPr>
          <w:p>
            <w:r>
              <w:t>subtotalUgx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shippingFeeUgx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Priced by destination + delivery method via </w:t>
            </w:r>
            <w:r>
              <w:rPr>
                <w:rFonts w:ascii="Consolas" w:hAnsi="Consolas"/>
                <w:sz w:val="20"/>
              </w:rPr>
              <w:t>ShippingZonesService</w:t>
            </w:r>
            <w:r>
              <w:t xml:space="preserve"> (added this session) — see the </w:t>
            </w:r>
            <w:r>
              <w:rPr>
                <w:rFonts w:ascii="Consolas" w:hAnsi="Consolas"/>
                <w:sz w:val="20"/>
              </w:rPr>
              <w:t>ShippingZone</w:t>
            </w:r>
            <w:r>
              <w:t xml:space="preserve"> table below</w:t>
            </w:r>
          </w:p>
        </w:tc>
      </w:tr>
      <w:tr>
        <w:tc>
          <w:tcPr>
            <w:tcW w:type="dxa" w:w="1728"/>
          </w:tcPr>
          <w:p>
            <w:r>
              <w:t>shippingZoneName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Added this session — the </w:t>
            </w:r>
            <w:r>
              <w:rPr>
                <w:rFonts w:ascii="Consolas" w:hAnsi="Consolas"/>
                <w:sz w:val="20"/>
              </w:rPr>
              <w:t>ShippingZone.name</w:t>
            </w:r>
            <w:r>
              <w:t xml:space="preserve"> that priced shippingFeeUgx, snapshotted at checkout time (never a live join, so a later rate change doesn't rewrite past orders); null on orders placed before this feature existed</w:t>
            </w:r>
          </w:p>
        </w:tc>
      </w:tr>
      <w:tr>
        <w:tc>
          <w:tcPr>
            <w:tcW w:type="dxa" w:w="1728"/>
          </w:tcPr>
          <w:p>
            <w:r>
              <w:t>discountUgx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vatUgx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Uganda VAT (18%), broken out separately — collected on URA's behalf, not ChrisPa revenue</w:t>
            </w:r>
          </w:p>
        </w:tc>
      </w:tr>
      <w:tr>
        <w:tc>
          <w:tcPr>
            <w:tcW w:type="dxa" w:w="1728"/>
          </w:tcPr>
          <w:p>
            <w:r>
              <w:t>totalUgx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deliveryMethod</w:t>
            </w:r>
          </w:p>
        </w:tc>
        <w:tc>
          <w:tcPr>
            <w:tcW w:type="dxa" w:w="1728"/>
          </w:tcPr>
          <w:p>
            <w:r>
              <w:t>DeliveryMethod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timeSlot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paymentMethod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CASH_ON_DELIVERY</w:t>
            </w:r>
            <w:r>
              <w:t xml:space="preserve"> completes; </w:t>
            </w:r>
            <w:r>
              <w:rPr>
                <w:rFonts w:ascii="Consolas" w:hAnsi="Consolas"/>
                <w:sz w:val="20"/>
              </w:rPr>
              <w:t>MOBILE_MONEY</w:t>
            </w:r>
            <w:r>
              <w:t>/</w:t>
            </w:r>
            <w:r>
              <w:rPr>
                <w:rFonts w:ascii="Consolas" w:hAnsi="Consolas"/>
                <w:sz w:val="20"/>
              </w:rPr>
              <w:t>CARD</w:t>
            </w:r>
            <w:r>
              <w:t xml:space="preserve"> return 501</w:t>
            </w:r>
          </w:p>
        </w:tc>
      </w:tr>
      <w:tr>
        <w:tc>
          <w:tcPr>
            <w:tcW w:type="dxa" w:w="1728"/>
          </w:tcPr>
          <w:p>
            <w:r>
              <w:t>shippingAddress</w:t>
            </w:r>
          </w:p>
        </w:tc>
        <w:tc>
          <w:tcPr>
            <w:tcW w:type="dxa" w:w="1728"/>
          </w:tcPr>
          <w:p>
            <w:r>
              <w:t>Json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deliveryConfirmedAt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Customer-only signal, separate from staff-set </w:t>
            </w:r>
            <w:r>
              <w:rPr>
                <w:rFonts w:ascii="Consolas" w:hAnsi="Consolas"/>
                <w:sz w:val="20"/>
              </w:rPr>
              <w:t>status: DELIVERED</w:t>
            </w:r>
            <w:r>
              <w:t xml:space="preserve"> — "mutual consent" the printable receipt requires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@@index([userId])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@@index([warehouseId])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@@index([status])</w:t>
            </w:r>
          </w:p>
        </w:tc>
      </w:tr>
    </w:tbl>
    <w:p>
      <w:pPr>
        <w:pStyle w:val="Heading3"/>
      </w:pPr>
      <w:r>
        <w:t>ShippingZone</w:t>
      </w:r>
    </w:p>
    <w:p>
      <w:r>
        <w:t xml:space="preserve">Added this session (per user decision, not in the original SRS) — admin-managed shipping pricing. Replaces the old flat per-delivery-method fee table in </w:t>
      </w:r>
      <w:r>
        <w:rPr>
          <w:rFonts w:ascii="Consolas" w:hAnsi="Consolas"/>
          <w:sz w:val="20"/>
        </w:rPr>
        <w:t>CheckoutService</w:t>
      </w:r>
      <w:r>
        <w:t xml:space="preserve">. See FR-5.4a in </w:t>
      </w:r>
      <w:r>
        <w:rPr>
          <w:rFonts w:ascii="Consolas" w:hAnsi="Consolas"/>
          <w:sz w:val="20"/>
        </w:rPr>
        <w:t>docs/SRS.md</w:t>
      </w:r>
      <w:r>
        <w:t>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towns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[]</w:t>
            </w:r>
          </w:p>
        </w:tc>
        <w:tc>
          <w:tcPr>
            <w:tcW w:type="dxa" w:w="1728"/>
          </w:tcPr>
          <w:p>
            <w:r>
              <w:t xml:space="preserve">Free-text town/city names matched case-insensitively/substring-tolerantly against </w:t>
            </w:r>
            <w:r>
              <w:rPr>
                <w:rFonts w:ascii="Consolas" w:hAnsi="Consolas"/>
                <w:sz w:val="20"/>
              </w:rPr>
              <w:t>Order.shippingAddress.city</w:t>
            </w:r>
            <w:r>
              <w:t xml:space="preserve"> — not a canonical Uganda-locations table, none exists in this schema</w:t>
            </w:r>
          </w:p>
        </w:tc>
      </w:tr>
      <w:tr>
        <w:tc>
          <w:tcPr>
            <w:tcW w:type="dxa" w:w="1728"/>
          </w:tcPr>
          <w:p>
            <w:r>
              <w:t>isDefault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Exactly one zone must have this true at any time — the fallback when a city matches no zone's </w:t>
            </w:r>
            <w:r>
              <w:rPr>
                <w:rFonts w:ascii="Consolas" w:hAnsi="Consolas"/>
                <w:sz w:val="20"/>
              </w:rPr>
              <w:t>towns</w:t>
            </w:r>
            <w:r>
              <w:t xml:space="preserve">; enforced in </w:t>
            </w:r>
            <w:r>
              <w:rPr>
                <w:rFonts w:ascii="Consolas" w:hAnsi="Consolas"/>
                <w:sz w:val="20"/>
              </w:rPr>
              <w:t>ShippingZonesService</w:t>
            </w:r>
            <w:r>
              <w:t>, not a DB constraint</w:t>
            </w:r>
          </w:p>
        </w:tc>
      </w:tr>
      <w:tr>
        <w:tc>
          <w:tcPr>
            <w:tcW w:type="dxa" w:w="1728"/>
          </w:tcPr>
          <w:p>
            <w:r>
              <w:t>standardFeeUgx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Null means Standard isn't offered to this zone at all, distinct from 0 ("free")</w:t>
            </w:r>
          </w:p>
        </w:tc>
      </w:tr>
      <w:tr>
        <w:tc>
          <w:tcPr>
            <w:tcW w:type="dxa" w:w="1728"/>
          </w:tcPr>
          <w:p>
            <w:r>
              <w:t>expressFeeUgx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Same null-means-unavailable convention as standardFeeUgx</w:t>
            </w:r>
          </w:p>
        </w:tc>
      </w:tr>
      <w:tr>
        <w:tc>
          <w:tcPr>
            <w:tcW w:type="dxa" w:w="1728"/>
          </w:tcPr>
          <w:p>
            <w:r>
              <w:t>sameDayFeeUgx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Same convention — per user decision, Same-day is NOT hard-blocked outside Kampala at the code level, an admin can price/disable it per zone</w:t>
            </w:r>
          </w:p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Match priority when a town could plausibly belong to more than one zone, and the admin list page's display order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OrderItem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</w:t>
            </w:r>
          </w:p>
        </w:tc>
      </w:tr>
      <w:tr>
        <w:tc>
          <w:tcPr>
            <w:tcW w:type="dxa" w:w="1728"/>
          </w:tcPr>
          <w:p>
            <w:r>
              <w:t>variantId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Variant</w:t>
            </w:r>
          </w:p>
        </w:tc>
      </w:tr>
      <w:tr>
        <w:tc>
          <w:tcPr>
            <w:tcW w:type="dxa" w:w="1728"/>
          </w:tcPr>
          <w:p>
            <w:r>
              <w:t>qty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unitPriceUgx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Vendor; snapshotted at order time, not read live from Product</w:t>
            </w:r>
          </w:p>
        </w:tc>
      </w:tr>
      <w:tr>
        <w:tc>
          <w:tcPr>
            <w:tcW w:type="dxa" w:w="1728"/>
          </w:tcPr>
          <w:p>
            <w:r>
              <w:t>costUgxSnapshot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platformCommissionUgx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Null until </w:t>
            </w:r>
            <w:r>
              <w:rPr>
                <w:rFonts w:ascii="Consolas" w:hAnsi="Consolas"/>
                <w:sz w:val="20"/>
              </w:rPr>
              <w:t>RevenueRecognitionService</w:t>
            </w:r>
            <w:r>
              <w:t xml:space="preserve"> computes it at delivery</w:t>
            </w:r>
          </w:p>
        </w:tc>
      </w:tr>
      <w:tr>
        <w:tc>
          <w:tcPr>
            <w:tcW w:type="dxa" w:w="1728"/>
          </w:tcPr>
          <w:p>
            <w:r>
              <w:t>vendorPayoutUgx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vendorPayoutId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VendorPayout; null = not yet paid out (guards against double-paying)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orderId, productId, vendorId, vendorPayoutId</w:t>
            </w:r>
          </w:p>
        </w:tc>
      </w:tr>
    </w:tbl>
    <w:p>
      <w:pPr>
        <w:pStyle w:val="Heading2"/>
      </w:pPr>
      <w:r>
        <w:t>Delivery (Driver App)</w:t>
      </w:r>
    </w:p>
    <w:p>
      <w:r>
        <w:t xml:space="preserve">Added commit </w:t>
      </w:r>
      <w:r>
        <w:rPr>
          <w:rFonts w:ascii="Consolas" w:hAnsi="Consolas"/>
          <w:sz w:val="20"/>
        </w:rPr>
        <w:t>75b7cff</w:t>
      </w:r>
      <w:r>
        <w:t xml:space="preserve">, per user request — not in the original SRS. See </w:t>
      </w:r>
      <w:hyperlink r:id="rId11">
        <w:r>
          <w:rPr>
            <w:color w:val="0563C1"/>
            <w:u w:val="single"/>
          </w:rPr>
          <w:t xml:space="preserve">`21-data-flow-diagram.md`</w:t>
        </w:r>
      </w:hyperlink>
      <w:r>
        <w:t xml:space="preserve">'s Driver App diagram and </w:t>
      </w:r>
      <w:hyperlink r:id="rId10">
        <w:r>
          <w:rPr>
            <w:color w:val="0563C1"/>
            <w:u w:val="single"/>
          </w:rPr>
          <w:t xml:space="preserve">`22-entity-relationship-diagram.md`</w:t>
        </w:r>
      </w:hyperlink>
      <w:r>
        <w:t xml:space="preserve"> for the relationship/reassignment semantics.</w:t>
      </w:r>
    </w:p>
    <w:p>
      <w:pPr>
        <w:pStyle w:val="Heading3"/>
      </w:pPr>
      <w:r>
        <w:t>Delivery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FK → Order, </w:t>
            </w:r>
            <w:r>
              <w:rPr>
                <w:rFonts w:ascii="Consolas" w:hAnsi="Consolas"/>
                <w:sz w:val="20"/>
              </w:rPr>
              <w:t>@unique</w:t>
            </w:r>
            <w:r>
              <w:t xml:space="preserve"> — 1:1, no split-shipment support</w:t>
            </w:r>
          </w:p>
        </w:tc>
      </w:tr>
      <w:tr>
        <w:tc>
          <w:tcPr>
            <w:tcW w:type="dxa" w:w="1728"/>
          </w:tcPr>
          <w:p>
            <w:r>
              <w:t>driverId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FK → User (relation </w:t>
            </w:r>
            <w:r>
              <w:rPr>
                <w:rFonts w:ascii="Consolas" w:hAnsi="Consolas"/>
                <w:sz w:val="20"/>
              </w:rPr>
              <w:t>DriverDeliveries</w:t>
            </w:r>
            <w:r>
              <w:t xml:space="preserve">); the assigned driver, must have </w:t>
            </w:r>
            <w:r>
              <w:rPr>
                <w:rFonts w:ascii="Consolas" w:hAnsi="Consolas"/>
                <w:sz w:val="20"/>
              </w:rPr>
              <w:t>role: DRIVER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DeliveryStatus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ASSIGNED</w:t>
            </w:r>
          </w:p>
        </w:tc>
        <w:tc>
          <w:tcPr>
            <w:tcW w:type="dxa" w:w="1728"/>
          </w:tcPr>
          <w:p>
            <w:r>
              <w:t xml:space="preserve">See the </w:t>
            </w:r>
            <w:r>
              <w:rPr>
                <w:rFonts w:ascii="Consolas" w:hAnsi="Consolas"/>
                <w:sz w:val="20"/>
              </w:rPr>
              <w:t>DeliveryStatus</w:t>
            </w:r>
            <w:r>
              <w:t xml:space="preserve"> enum below</w:t>
            </w:r>
          </w:p>
        </w:tc>
      </w:tr>
      <w:tr>
        <w:tc>
          <w:tcPr>
            <w:tcW w:type="dxa" w:w="1728"/>
          </w:tcPr>
          <w:p>
            <w:r>
              <w:t>priority</w:t>
            </w:r>
          </w:p>
        </w:tc>
        <w:tc>
          <w:tcPr>
            <w:tcW w:type="dxa" w:w="1728"/>
          </w:tcPr>
          <w:p>
            <w:r>
              <w:t>DeliveryPriority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NORMAL</w:t>
            </w:r>
          </w:p>
        </w:tc>
        <w:tc>
          <w:tcPr>
            <w:tcW w:type="dxa" w:w="1728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set at assignment; a driver's own list sorts URGENT-first, ordering hint only, no automated dispatch reads it</w:t>
            </w:r>
          </w:p>
        </w:tc>
      </w:tr>
      <w:tr>
        <w:tc>
          <w:tcPr>
            <w:tcW w:type="dxa" w:w="1728"/>
          </w:tcPr>
          <w:p>
            <w:r>
              <w:t>pickupLat / pickupLng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Snapshotted from the driver's browser geolocation at the moment </w:t>
            </w:r>
            <w:r>
              <w:rPr>
                <w:rFonts w:ascii="Consolas" w:hAnsi="Consolas"/>
                <w:sz w:val="20"/>
              </w:rPr>
              <w:t>status</w:t>
            </w:r>
            <w:r>
              <w:t xml:space="preserve"> becomes </w:t>
            </w:r>
            <w:r>
              <w:rPr>
                <w:rFonts w:ascii="Consolas" w:hAnsi="Consolas"/>
                <w:sz w:val="20"/>
              </w:rPr>
              <w:t>PICKED_UP</w:t>
            </w:r>
          </w:p>
        </w:tc>
      </w:tr>
      <w:tr>
        <w:tc>
          <w:tcPr>
            <w:tcW w:type="dxa" w:w="1728"/>
          </w:tcPr>
          <w:p>
            <w:r>
              <w:t>pickupLocationName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Added this session — best-effort reverse-geocoded label for pickupLat/pickupLng (</w:t>
            </w:r>
            <w:r>
              <w:rPr>
                <w:rFonts w:ascii="Consolas" w:hAnsi="Consolas"/>
                <w:sz w:val="20"/>
              </w:rPr>
              <w:t>GeocodingService</w:t>
            </w:r>
            <w:r>
              <w:t xml:space="preserve">, OpenStreetMap Nominatim), resolved once at </w:t>
            </w:r>
            <w:r>
              <w:rPr>
                <w:rFonts w:ascii="Consolas" w:hAnsi="Consolas"/>
                <w:sz w:val="20"/>
              </w:rPr>
              <w:t>PICKED_UP</w:t>
            </w:r>
            <w:r>
              <w:t xml:space="preserve"> and snapshotted alongside the coordinates, never re-resolved later; null if the lookup failed (never blocks the status update)</w:t>
            </w:r>
          </w:p>
        </w:tc>
      </w:tr>
      <w:tr>
        <w:tc>
          <w:tcPr>
            <w:tcW w:type="dxa" w:w="1728"/>
          </w:tcPr>
          <w:p>
            <w:r>
              <w:t>pickedUpAt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alongside pickupLat/pickupLng</w:t>
            </w:r>
          </w:p>
        </w:tc>
      </w:tr>
      <w:tr>
        <w:tc>
          <w:tcPr>
            <w:tcW w:type="dxa" w:w="1728"/>
          </w:tcPr>
          <w:p>
            <w:r>
              <w:t>deliveryLat / deliveryLng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Snapshotted at </w:t>
            </w:r>
            <w:r>
              <w:rPr>
                <w:rFonts w:ascii="Consolas" w:hAnsi="Consolas"/>
                <w:sz w:val="20"/>
              </w:rPr>
              <w:t>DELIVERED</w:t>
            </w:r>
            <w:r>
              <w:t>, same reasoning as pickup</w:t>
            </w:r>
          </w:p>
        </w:tc>
      </w:tr>
      <w:tr>
        <w:tc>
          <w:tcPr>
            <w:tcW w:type="dxa" w:w="1728"/>
          </w:tcPr>
          <w:p>
            <w:r>
              <w:t>deliveryLocationName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Added this session — same reverse-geocoding as pickupLocationName, resolved at </w:t>
            </w:r>
            <w:r>
              <w:rPr>
                <w:rFonts w:ascii="Consolas" w:hAnsi="Consolas"/>
                <w:sz w:val="20"/>
              </w:rPr>
              <w:t>DELIVERED</w:t>
            </w:r>
          </w:p>
        </w:tc>
      </w:tr>
      <w:tr>
        <w:tc>
          <w:tcPr>
            <w:tcW w:type="dxa" w:w="1728"/>
          </w:tcPr>
          <w:p>
            <w:r>
              <w:t>deliveredAt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Set alongside deliveryLat/deliveryLng</w:t>
            </w:r>
          </w:p>
        </w:tc>
      </w:tr>
      <w:tr>
        <w:tc>
          <w:tcPr>
            <w:tcW w:type="dxa" w:w="1728"/>
          </w:tcPr>
          <w:p>
            <w:r>
              <w:t>currentLat / currentLng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Last-known position while en route — a single overwritten snapshot, not a location-history table</w:t>
            </w:r>
          </w:p>
        </w:tc>
      </w:tr>
      <w:tr>
        <w:tc>
          <w:tcPr>
            <w:tcW w:type="dxa" w:w="1728"/>
          </w:tcPr>
          <w:p>
            <w:r>
              <w:t>lastLocationAt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Timestamp of the last position update</w:t>
            </w:r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assignedAt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@@index([driverId])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@@index([status])</w:t>
            </w:r>
          </w:p>
        </w:tc>
      </w:tr>
    </w:tbl>
    <w:p>
      <w:pPr>
        <w:pStyle w:val="Heading2"/>
      </w:pPr>
      <w:r>
        <w:t>Marketplace</w:t>
      </w:r>
    </w:p>
    <w:p>
      <w:pPr>
        <w:pStyle w:val="Heading3"/>
      </w:pPr>
      <w:r>
        <w:t>Vendor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contactEmail / contactPhone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payoutMobileMoneyNumber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commissionRatePercent</w:t>
            </w:r>
          </w:p>
        </w:tc>
        <w:tc>
          <w:tcPr>
            <w:tcW w:type="dxa" w:w="1728"/>
          </w:tcPr>
          <w:p>
            <w:r>
              <w:t>Decimal(5,2)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 xml:space="preserve">Platform's cut; read live at order-creation time, then snapshotted onto </w:t>
            </w:r>
            <w:r>
              <w:rPr>
                <w:rFonts w:ascii="Consolas" w:hAnsi="Consolas"/>
                <w:sz w:val="20"/>
              </w:rPr>
              <w:t>OrderItem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VendorStatus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VendorPayout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vendorId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Vendor</w:t>
            </w:r>
          </w:p>
        </w:tc>
      </w:tr>
      <w:tr>
        <w:tc>
          <w:tcPr>
            <w:tcW w:type="dxa" w:w="1728"/>
          </w:tcPr>
          <w:p>
            <w:r>
              <w:t>periodStart / periodEnd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grossSalesUgx / commissionUgx / payoutUgx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Computed from that vendor's DELIVERED OrderItems, not recomputed live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VendorPayoutStatus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>
            <w:r>
              <w:t>Marking PAID is manual — no real disbursement integration</w:t>
            </w:r>
          </w:p>
        </w:tc>
      </w:tr>
      <w:tr>
        <w:tc>
          <w:tcPr>
            <w:tcW w:type="dxa" w:w="1728"/>
          </w:tcPr>
          <w:p>
            <w:r>
              <w:t>paidAt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Payments</w:t>
      </w:r>
    </w:p>
    <w:p>
      <w:pPr>
        <w:pStyle w:val="Heading3"/>
      </w:pPr>
      <w:r>
        <w:t>PaymentTransaction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Order; nullable since a charge can be initiated before the order is confirmed</w:t>
            </w:r>
          </w:p>
        </w:tc>
      </w:tr>
      <w:tr>
        <w:tc>
          <w:tcPr>
            <w:tcW w:type="dxa" w:w="1728"/>
          </w:tcPr>
          <w:p>
            <w:r>
              <w:t>provider</w:t>
            </w:r>
          </w:p>
        </w:tc>
        <w:tc>
          <w:tcPr>
            <w:tcW w:type="dxa" w:w="1728"/>
          </w:tcPr>
          <w:p>
            <w:r>
              <w:t>PaymentProvider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</w:t>
            </w:r>
            <w:r>
              <w:rPr>
                <w:rFonts w:ascii="Consolas" w:hAnsi="Consolas"/>
                <w:sz w:val="20"/>
              </w:rPr>
              <w:t>FLUTTERWAVE</w:t>
            </w:r>
          </w:p>
        </w:tc>
      </w:tr>
      <w:tr>
        <w:tc>
          <w:tcPr>
            <w:tcW w:type="dxa" w:w="1728"/>
          </w:tcPr>
          <w:p>
            <w:r>
              <w:t>providerReference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; our own idempotency key, sent as </w:t>
            </w:r>
            <w:r>
              <w:rPr>
                <w:rFonts w:ascii="Consolas" w:hAnsi="Consolas"/>
                <w:sz w:val="20"/>
              </w:rPr>
              <w:t>tx_ref</w:t>
            </w:r>
            <w:r>
              <w:t xml:space="preserve"> — how the webhook maps back</w:t>
            </w:r>
          </w:p>
        </w:tc>
      </w:tr>
      <w:tr>
        <w:tc>
          <w:tcPr>
            <w:tcW w:type="dxa" w:w="1728"/>
          </w:tcPr>
          <w:p>
            <w:r>
              <w:t>providerTransactionId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"UGX"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PaymentTransactionStatus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failureReason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feeUgx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Gateway fee, or a chargeback fee once disputed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Marketing</w:t>
      </w:r>
    </w:p>
    <w:p>
      <w:pPr>
        <w:pStyle w:val="Heading3"/>
      </w:pPr>
      <w:r>
        <w:t>Coupon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CouponType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value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usageCount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Bundle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productIds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Scalar array, not a join table — no referential integrity, deliberate for this small feature</w:t>
            </w:r>
          </w:p>
        </w:tc>
      </w:tr>
      <w:tr>
        <w:tc>
          <w:tcPr>
            <w:tcW w:type="dxa" w:w="1728"/>
          </w:tcPr>
          <w:p>
            <w:r>
              <w:t>bundlePriceUgx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NewsletterSubscriber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subscribedAt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unsubscribedAt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Kept, not hard-deleted on unsubscribe — preserves history and lets a re-subscribe flip it back on</w:t>
            </w:r>
          </w:p>
        </w:tc>
      </w:tr>
    </w:tbl>
    <w:p>
      <w:pPr>
        <w:pStyle w:val="Heading3"/>
      </w:pPr>
      <w:r>
        <w:t>NewsletterCampaign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subject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recipientCount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Snapshot of active subscriber count at send time</w:t>
            </w:r>
          </w:p>
        </w:tc>
      </w:tr>
      <w:tr>
        <w:tc>
          <w:tcPr>
            <w:tcW w:type="dxa" w:w="1728"/>
          </w:tcPr>
          <w:p>
            <w:r>
              <w:t>notifiedUserCount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How many also got an in-app </w:t>
            </w:r>
            <w:r>
              <w:rPr>
                <w:rFonts w:ascii="Consolas" w:hAnsi="Consolas"/>
                <w:sz w:val="20"/>
              </w:rPr>
              <w:t>Notification</w:t>
            </w:r>
          </w:p>
        </w:tc>
      </w:tr>
      <w:tr>
        <w:tc>
          <w:tcPr>
            <w:tcW w:type="dxa" w:w="1728"/>
          </w:tcPr>
          <w:p>
            <w:r>
              <w:t>sentAt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>Sent immediately on creation — not a draft/scheduling system</w:t>
            </w:r>
          </w:p>
        </w:tc>
      </w:tr>
    </w:tbl>
    <w:p>
      <w:pPr>
        <w:pStyle w:val="Heading2"/>
      </w:pPr>
      <w:r>
        <w:t>Loyalty</w:t>
      </w:r>
    </w:p>
    <w:p>
      <w:pPr>
        <w:pStyle w:val="Heading3"/>
      </w:pPr>
      <w:r>
        <w:t>LoyaltyAccount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User, Cascade</w:t>
            </w:r>
          </w:p>
        </w:tc>
      </w:tr>
      <w:tr>
        <w:tc>
          <w:tcPr>
            <w:tcW w:type="dxa" w:w="1728"/>
          </w:tcPr>
          <w:p>
            <w:r>
              <w:t>pointsBalance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CustomerTier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STANDARD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LoyaltyLedgerEntry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loyaltyAccountId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LoyaltyAccount, Cascade</w:t>
            </w:r>
          </w:p>
        </w:tc>
      </w:tr>
      <w:tr>
        <w:tc>
          <w:tcPr>
            <w:tcW w:type="dxa" w:w="1728"/>
          </w:tcPr>
          <w:p>
            <w:r>
              <w:t>delta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Signed — award or reversal</w:t>
            </w:r>
          </w:p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Notifications</w:t>
      </w:r>
    </w:p>
    <w:p>
      <w:r>
        <w:t xml:space="preserve">See </w:t>
      </w:r>
      <w:r>
        <w:rPr>
          <w:rFonts w:ascii="Consolas" w:hAnsi="Consolas"/>
          <w:sz w:val="20"/>
        </w:rPr>
        <w:t>Notification</w:t>
      </w:r>
      <w:r>
        <w:t xml:space="preserve"> under </w:t>
      </w:r>
      <w:r>
        <w:rPr>
          <w:b/>
        </w:rPr>
        <w:t>Identity &amp; auth</w:t>
      </w:r>
      <w:r>
        <w:t xml:space="preserve"> above (kept there since it's a direct </w:t>
      </w:r>
      <w:r>
        <w:rPr>
          <w:rFonts w:ascii="Consolas" w:hAnsi="Consolas"/>
          <w:sz w:val="20"/>
        </w:rPr>
        <w:t>User</w:t>
      </w:r>
      <w:r>
        <w:t xml:space="preserve"> relation) — treated as its own domain in </w:t>
      </w:r>
      <w:r>
        <w:rPr>
          <w:rFonts w:ascii="Consolas" w:hAnsi="Consolas"/>
          <w:sz w:val="20"/>
        </w:rPr>
        <w:t>03-database-design.md</w:t>
      </w:r>
      <w:r>
        <w:t>'s inventory table.</w:t>
      </w:r>
    </w:p>
    <w:p>
      <w:pPr>
        <w:pStyle w:val="Heading2"/>
      </w:pPr>
      <w:r>
        <w:t>CRM / support</w:t>
      </w:r>
    </w:p>
    <w:p>
      <w:pPr>
        <w:pStyle w:val="Heading3"/>
      </w:pPr>
      <w:r>
        <w:t>Review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rating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photos</w:t>
            </w:r>
          </w:p>
        </w:tc>
        <w:tc>
          <w:tcPr>
            <w:tcW w:type="dxa" w:w="1728"/>
          </w:tcPr>
          <w:p>
            <w:r>
              <w:t>String[]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[]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SupportTicket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orderId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Order</w:t>
            </w:r>
          </w:p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TicketStatus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TicketMessage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ticketId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SupportTicket, Cascade</w:t>
            </w:r>
          </w:p>
        </w:tc>
      </w:tr>
      <w:tr>
        <w:tc>
          <w:tcPr>
            <w:tcW w:type="dxa" w:w="1728"/>
          </w:tcPr>
          <w:p>
            <w:r>
              <w:t>authorUserId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 — either party</w:t>
            </w:r>
          </w:p>
        </w:tc>
      </w:tr>
      <w:tr>
        <w:tc>
          <w:tcPr>
            <w:tcW w:type="dxa" w:w="1728"/>
          </w:tcPr>
          <w:p>
            <w:r>
              <w:t>authorRole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at write time — a later role change shouldn't repaint an old message's bubble</w:t>
            </w:r>
          </w:p>
        </w:tc>
      </w:tr>
      <w:tr>
        <w:tc>
          <w:tcPr>
            <w:tcW w:type="dxa" w:w="1728"/>
          </w:tcPr>
          <w:p>
            <w:r>
              <w:t>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WishlistItem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User, Cascade</w:t>
            </w:r>
          </w:p>
        </w:tc>
      </w:tr>
      <w:tr>
        <w:tc>
          <w:tcPr>
            <w:tcW w:type="dxa" w:w="1728"/>
          </w:tcPr>
          <w:p>
            <w:r>
              <w:t>productId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Product, Cascade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@@unique([userId, productId])</w:t>
            </w:r>
          </w:p>
        </w:tc>
      </w:tr>
    </w:tbl>
    <w:p>
      <w:pPr>
        <w:pStyle w:val="Heading2"/>
      </w:pPr>
      <w:r>
        <w:t>CMS</w:t>
      </w:r>
    </w:p>
    <w:p>
      <w:pPr>
        <w:pStyle w:val="Heading3"/>
      </w:pPr>
      <w:r>
        <w:t>CmsPage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title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CmsStatus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Banner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imageUrl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linkUrl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BlogPost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slug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title / body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CmsStatus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Read-only from the admin side today — no write endpoint yet</w:t>
            </w:r>
          </w:p>
        </w:tc>
      </w:tr>
      <w:tr>
        <w:tc>
          <w:tcPr>
            <w:tcW w:type="dxa" w:w="1728"/>
          </w:tcPr>
          <w:p>
            <w:r>
              <w:t>publishedAt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SocialMediaAccount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platform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Free text, not an enum — no icon library, rendered as a text label regardless</w:t>
            </w:r>
          </w:p>
        </w:tc>
      </w:tr>
      <w:tr>
        <w:tc>
          <w:tcPr>
            <w:tcW w:type="dxa" w:w="1728"/>
          </w:tcPr>
          <w:p>
            <w:r>
              <w:t>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sortOrder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org (Departments, Employee Profiles, Documents)</w:t>
      </w:r>
    </w:p>
    <w:p>
      <w:pPr>
        <w:pStyle w:val="Heading3"/>
      </w:pPr>
      <w:r>
        <w:t>Department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DepartmentPermission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Department, Cascade</w:t>
            </w:r>
          </w:p>
        </w:tc>
      </w:tr>
      <w:tr>
        <w:tc>
          <w:tcPr>
            <w:tcW w:type="dxa" w:w="1728"/>
          </w:tcPr>
          <w:p>
            <w:r>
              <w:t>resource</w:t>
            </w:r>
          </w:p>
        </w:tc>
        <w:tc>
          <w:tcPr>
            <w:tcW w:type="dxa" w:w="1728"/>
          </w:tcPr>
          <w:p>
            <w:r>
              <w:t>PermissionResource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One row per admin nav area</w:t>
            </w:r>
          </w:p>
        </w:tc>
      </w:tr>
      <w:tr>
        <w:tc>
          <w:tcPr>
            <w:tcW w:type="dxa" w:w="1728"/>
          </w:tcPr>
          <w:p>
            <w:r>
              <w:t>canView / canCreate / canUpdate / canDelete / canExecute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>
            <w:r>
              <w:t xml:space="preserve">A </w:t>
            </w:r>
            <w:r>
              <w:rPr>
                <w:b/>
              </w:rPr>
              <w:t>stored policy record</w:t>
            </w:r>
            <w:r>
              <w:t xml:space="preserve">, not the enforcement mechanism — </w:t>
            </w:r>
            <w:r>
              <w:rPr>
                <w:rFonts w:ascii="Consolas" w:hAnsi="Consolas"/>
                <w:sz w:val="20"/>
              </w:rPr>
              <w:t>RolesGuard</w:t>
            </w:r>
            <w:r>
              <w:t>/</w:t>
            </w:r>
            <w:r>
              <w:rPr>
                <w:rFonts w:ascii="Consolas" w:hAnsi="Consolas"/>
                <w:sz w:val="20"/>
              </w:rPr>
              <w:t>@Roles()</w:t>
            </w:r>
            <w:r>
              <w:t xml:space="preserve"> is the real security boundary, by explicit user decision</w:t>
            </w:r>
          </w:p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@@unique([departmentId, resource])</w:t>
            </w:r>
            <w:r>
              <w:t xml:space="preserve"> — every department always has a complete 15-row matrix</w:t>
            </w:r>
          </w:p>
        </w:tc>
      </w:tr>
    </w:tbl>
    <w:p>
      <w:pPr>
        <w:pStyle w:val="Heading3"/>
      </w:pPr>
      <w:r>
        <w:t>Employee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 xml:space="preserve">, FK → User; optional both ways — see </w:t>
            </w:r>
            <w:r>
              <w:rPr>
                <w:rFonts w:ascii="Consolas" w:hAnsi="Consolas"/>
                <w:sz w:val="20"/>
              </w:rPr>
              <w:t>22-entity-relationship-diagram.md</w:t>
            </w:r>
          </w:p>
        </w:tc>
      </w:tr>
      <w:tr>
        <w:tc>
          <w:tcPr>
            <w:tcW w:type="dxa" w:w="1728"/>
          </w:tcPr>
          <w:p>
            <w:r>
              <w:t>employeeNumber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auto-generated</w:t>
            </w:r>
          </w:p>
        </w:tc>
      </w:tr>
      <w:tr>
        <w:tc>
          <w:tcPr>
            <w:tcW w:type="dxa" w:w="1728"/>
          </w:tcPr>
          <w:p>
            <w:r>
              <w:t>firstName / lastName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personalEmail / personalPhone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dateOfBirth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gender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nationalIdNumber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Uganda National ID — access restricted to OWNER/HR_MANAGER at the API layer</w:t>
            </w:r>
          </w:p>
        </w:tc>
      </w:tr>
      <w:tr>
        <w:tc>
          <w:tcPr>
            <w:tcW w:type="dxa" w:w="1728"/>
          </w:tcPr>
          <w:p>
            <w:r>
              <w:t>address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photoUrl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</w:t>
            </w:r>
          </w:p>
        </w:tc>
      </w:tr>
      <w:tr>
        <w:tc>
          <w:tcPr>
            <w:tcW w:type="dxa" w:w="1728"/>
          </w:tcPr>
          <w:p>
            <w:r>
              <w:t>jobTitle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FULL_TIME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employmentStatus</w:t>
            </w:r>
          </w:p>
        </w:tc>
        <w:tc>
          <w:tcPr>
            <w:tcW w:type="dxa" w:w="1728"/>
          </w:tcPr>
          <w:p>
            <w:r>
              <w:t>EmploymentStatus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>
            <w:r>
              <w:t>Never hard-deleted — TERMINATED is the "delete"</w:t>
            </w:r>
          </w:p>
        </w:tc>
      </w:tr>
      <w:tr>
        <w:tc>
          <w:tcPr>
            <w:tcW w:type="dxa" w:w="1728"/>
          </w:tcPr>
          <w:p>
            <w:r>
              <w:t>hireDate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terminationDate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managerId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 (self)</w:t>
            </w:r>
          </w:p>
        </w:tc>
      </w:tr>
      <w:tr>
        <w:tc>
          <w:tcPr>
            <w:tcW w:type="dxa" w:w="1728"/>
          </w:tcPr>
          <w:p>
            <w:r>
              <w:t>baseSalaryUgx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Payroll input</w:t>
            </w:r>
          </w:p>
        </w:tc>
      </w:tr>
      <w:tr>
        <w:tc>
          <w:tcPr>
            <w:tcW w:type="dxa" w:w="1728"/>
          </w:tcPr>
          <w:p>
            <w:r>
              <w:t>nssfNumber / tinNumber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annualLeaveDaysPerYear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Uganda Employment Act 2006 statutory minimum</w:t>
            </w:r>
          </w:p>
        </w:tc>
      </w:tr>
      <w:tr>
        <w:tc>
          <w:tcPr>
            <w:tcW w:type="dxa" w:w="1728"/>
          </w:tcPr>
          <w:p>
            <w:r>
              <w:t>standardHoursPerDay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Overtime calculation input</w:t>
            </w:r>
          </w:p>
        </w:tc>
      </w:tr>
      <w:tr>
        <w:tc>
          <w:tcPr>
            <w:tcW w:type="dxa" w:w="1728"/>
          </w:tcPr>
          <w:p>
            <w:r>
              <w:t>overtimeRateMultiplier</w:t>
            </w:r>
          </w:p>
        </w:tc>
        <w:tc>
          <w:tcPr>
            <w:tcW w:type="dxa" w:w="1728"/>
          </w:tcPr>
          <w:p>
            <w:r>
              <w:t>Float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Plain multiplier, not a percentage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departmentId, managerId, employmentStatus</w:t>
            </w:r>
          </w:p>
        </w:tc>
      </w:tr>
    </w:tbl>
    <w:p>
      <w:pPr>
        <w:pStyle w:val="Heading3"/>
      </w:pPr>
      <w:r>
        <w:t>EmploymentHistoryEntry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changeType</w:t>
            </w:r>
          </w:p>
        </w:tc>
        <w:tc>
          <w:tcPr>
            <w:tcW w:type="dxa" w:w="1728"/>
          </w:tcPr>
          <w:p>
            <w:r>
              <w:t>EmploymentChangeType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Auto-logged by </w:t>
            </w:r>
            <w:r>
              <w:rPr>
                <w:rFonts w:ascii="Consolas" w:hAnsi="Consolas"/>
                <w:sz w:val="20"/>
              </w:rPr>
              <w:t>EmployeesService.update()</w:t>
            </w:r>
            <w:r>
              <w:t>'s diff</w:t>
            </w:r>
          </w:p>
        </w:tc>
      </w:tr>
      <w:tr>
        <w:tc>
          <w:tcPr>
            <w:tcW w:type="dxa" w:w="1728"/>
          </w:tcPr>
          <w:p>
            <w:r>
              <w:t>previousValue / newValue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effectiveDate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EmployeeDocument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EmployeeDocumentType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fileUrl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expiresAt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Drives the "documents expiring in 30 days" dashboard metric</w:t>
            </w:r>
          </w:p>
        </w:tc>
      </w:tr>
      <w:tr>
        <w:tc>
          <w:tcPr>
            <w:tcW w:type="dxa" w:w="1728"/>
          </w:tcPr>
          <w:p>
            <w:r>
              <w:t>uploadedAt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attendance / leave / shifts</w:t>
      </w:r>
    </w:p>
    <w:p>
      <w:pPr>
        <w:pStyle w:val="Heading3"/>
      </w:pPr>
      <w:r>
        <w:t>TimeEntry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clockIn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clockOut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AttendanceSource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WEB</w:t>
            </w:r>
          </w:p>
        </w:tc>
        <w:tc>
          <w:tcPr>
            <w:tcW w:type="dxa" w:w="1728"/>
          </w:tcPr>
          <w:p>
            <w:r>
              <w:t>Only value — no biometric/device integration</w:t>
            </w:r>
          </w:p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LeaveRequest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LeaveType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startDate / endDate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LeaveRequestStatus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reviewedByUserId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reviewNotes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Shift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startAt / endAt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ShiftStatus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SCHEDULED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ShiftSwapRequest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shiftId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Shift, Cascade</w:t>
            </w:r>
          </w:p>
        </w:tc>
      </w:tr>
      <w:tr>
        <w:tc>
          <w:tcPr>
            <w:tcW w:type="dxa" w:w="1728"/>
          </w:tcPr>
          <w:p>
            <w:r>
              <w:t>requestedByEmployeeId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coverEmployeeId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FK → Employee; approval reassigns </w:t>
            </w:r>
            <w:r>
              <w:rPr>
                <w:rFonts w:ascii="Consolas" w:hAnsi="Consolas"/>
                <w:sz w:val="20"/>
              </w:rPr>
              <w:t>Shift.employeeId</w:t>
            </w:r>
            <w:r>
              <w:t xml:space="preserve"> to this employee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ShiftSwapStatus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PENDING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reviewedByUserId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reason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performance &amp; recruitment</w:t>
      </w:r>
    </w:p>
    <w:p>
      <w:pPr>
        <w:pStyle w:val="Heading3"/>
      </w:pPr>
      <w:r>
        <w:t>PerformanceGoal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targetDate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GoalStatus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NOT_STARTED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progressPercent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 — OWNER/HR_MANAGER or the employee's line manager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PerformanceFeedback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givenByUserId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Lightweight, immutable — distinct from the formal </w:t>
            </w:r>
            <w:r>
              <w:rPr>
                <w:rFonts w:ascii="Consolas" w:hAnsi="Consolas"/>
                <w:sz w:val="20"/>
              </w:rPr>
              <w:t>PerformanceReview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PerformanceReview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reviewerUserId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periodStart / periodEnd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rating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1–5</w:t>
            </w:r>
          </w:p>
        </w:tc>
      </w:tr>
      <w:tr>
        <w:tc>
          <w:tcPr>
            <w:tcW w:type="dxa" w:w="1728"/>
          </w:tcPr>
          <w:p>
            <w:r>
              <w:t>strengths / areasForImprovement / overallComments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ReviewStatus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 xml:space="preserve">SUBMITTED locks content — only the employee's own </w:t>
            </w:r>
            <w:r>
              <w:rPr>
                <w:rFonts w:ascii="Consolas" w:hAnsi="Consolas"/>
                <w:sz w:val="20"/>
              </w:rPr>
              <w:t>acknowledge()</w:t>
            </w:r>
            <w:r>
              <w:t xml:space="preserve"> can move it to ACKNOWLEDGED</w:t>
            </w:r>
          </w:p>
        </w:tc>
      </w:tr>
      <w:tr>
        <w:tc>
          <w:tcPr>
            <w:tcW w:type="dxa" w:w="1728"/>
          </w:tcPr>
          <w:p>
            <w:r>
              <w:t>acknowledgedAt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JobPosting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title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departmentId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Department</w:t>
            </w:r>
          </w:p>
        </w:tc>
      </w:tr>
      <w:tr>
        <w:tc>
          <w:tcPr>
            <w:tcW w:type="dxa" w:w="1728"/>
          </w:tcPr>
          <w:p>
            <w:r>
              <w:t>description / requirements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EmploymentType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FULL_TIME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JobPostingStatus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Auto-transitions to FILLED on applicant conversion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postedAt / closedAt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Applicant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jobPostingId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JobPosting, Cascade</w:t>
            </w:r>
          </w:p>
        </w:tc>
      </w:tr>
      <w:tr>
        <w:tc>
          <w:tcPr>
            <w:tcW w:type="dxa" w:w="1728"/>
          </w:tcPr>
          <w:p>
            <w:r>
              <w:t>firstName / lastName / email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phone / resumeUrl / coverNote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stage</w:t>
            </w:r>
          </w:p>
        </w:tc>
        <w:tc>
          <w:tcPr>
            <w:tcW w:type="dxa" w:w="1728"/>
          </w:tcPr>
          <w:p>
            <w:r>
              <w:t>ApplicantStage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APPLIED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notes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Internal HR notes, not shown to the applicant</w:t>
            </w:r>
          </w:p>
        </w:tc>
      </w:tr>
      <w:tr>
        <w:tc>
          <w:tcPr>
            <w:tcW w:type="dxa" w:w="1728"/>
          </w:tcPr>
          <w:p>
            <w:r>
              <w:t>convertedEmployeeId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@unique</w:t>
            </w:r>
            <w:r>
              <w:t>, FK → Employee; guards against double-conversion</w:t>
            </w:r>
          </w:p>
        </w:tc>
      </w:tr>
      <w:tr>
        <w:tc>
          <w:tcPr>
            <w:tcW w:type="dxa" w:w="1728"/>
          </w:tcPr>
          <w:p>
            <w:r>
              <w:t>appliedAt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HR — payroll</w:t>
      </w:r>
    </w:p>
    <w:p>
      <w:pPr>
        <w:pStyle w:val="Heading3"/>
      </w:pPr>
      <w:r>
        <w:t>PayrollPeriod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month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First-of-month; Dec 1 of the target year for THIRTEENTH_MONTH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PayrollPeriodType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REGULAR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PayrollPeriodStatus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DRAFT</w:t>
            </w:r>
          </w:p>
        </w:tc>
        <w:tc>
          <w:tcPr>
            <w:tcW w:type="dxa" w:w="1728"/>
          </w:tcPr>
          <w:p>
            <w:r>
              <w:t>DRAFT → COMPUTED → FINALIZED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finalizedAt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@@unique([month, type])</w:t>
            </w:r>
            <w:r>
              <w:t xml:space="preserve"> — lets a REGULAR and THIRTEENTH_MONTH period coexist in the same month</w:t>
            </w:r>
          </w:p>
        </w:tc>
      </w:tr>
    </w:tbl>
    <w:p>
      <w:pPr>
        <w:pStyle w:val="Heading3"/>
      </w:pPr>
      <w:r>
        <w:t>Payslip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PayrollPeriod, Cascade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basicSalaryUgx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— prorated for THIRTEENTH_MONTH</w:t>
            </w:r>
          </w:p>
        </w:tc>
      </w:tr>
      <w:tr>
        <w:tc>
          <w:tcPr>
            <w:tcW w:type="dxa" w:w="1728"/>
          </w:tcPr>
          <w:p>
            <w:r>
              <w:t>taxableAllowancesUgx / nonTaxableAllowancesUgx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overtimeUgx / bonusUgx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grossPayUgx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Display total (taxable gross + non-taxable allowances)</w:t>
            </w:r>
          </w:p>
        </w:tc>
      </w:tr>
      <w:tr>
        <w:tc>
          <w:tcPr>
            <w:tcW w:type="dxa" w:w="1728"/>
          </w:tcPr>
          <w:p>
            <w:r>
              <w:t>payeTaxUgx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nssfEmployeeUgx / nssfEmployerUgx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Computed on </w:t>
            </w:r>
            <w:r>
              <w:rPr>
                <w:rFonts w:ascii="Consolas" w:hAnsi="Consolas"/>
                <w:sz w:val="20"/>
              </w:rPr>
              <w:t>basicSalaryUgx</w:t>
            </w:r>
            <w:r>
              <w:t xml:space="preserve"> only — documented simplification</w:t>
            </w:r>
          </w:p>
        </w:tc>
      </w:tr>
      <w:tr>
        <w:tc>
          <w:tcPr>
            <w:tcW w:type="dxa" w:w="1728"/>
          </w:tcPr>
          <w:p>
            <w:r>
              <w:t>penaltyUgx / advanceRepaymentUgx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netPayUgx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computedAt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@@unique([periodId, employeeId])</w:t>
            </w:r>
          </w:p>
        </w:tc>
      </w:tr>
    </w:tbl>
    <w:p>
      <w:pPr>
        <w:pStyle w:val="Heading3"/>
      </w:pPr>
      <w:r>
        <w:t>EmployeeAllowance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Employee, Cascade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AllowanceType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OTHER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taxable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Controls PAYE-chargeable vs. straight-to-net</w:t>
            </w:r>
          </w:p>
        </w:tc>
      </w:tr>
      <w:tr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Applied to every regular run while active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SalaryAdvance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principalUgx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balanceRemainingUgx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Only decremented at </w:t>
            </w:r>
            <w:r>
              <w:rPr>
                <w:rFonts w:ascii="Consolas" w:hAnsi="Consolas"/>
                <w:sz w:val="20"/>
              </w:rPr>
              <w:t>PayrollService.finalize()</w:t>
            </w:r>
            <w:r>
              <w:t xml:space="preserve"> — re-running a not-yet-finalized period doesn't mutate it</w:t>
            </w:r>
          </w:p>
        </w:tc>
      </w:tr>
      <w:tr>
        <w:tc>
          <w:tcPr>
            <w:tcW w:type="dxa" w:w="1728"/>
          </w:tcPr>
          <w:p>
            <w:r>
              <w:t>monthlyInstallmentUgx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SalaryAdvanceStatus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ACTIVE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issuedAt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approvedByUserId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note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PayslipAdvanceRepayment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payslipId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Payslip, Cascade</w:t>
            </w:r>
          </w:p>
        </w:tc>
      </w:tr>
      <w:tr>
        <w:tc>
          <w:tcPr>
            <w:tcW w:type="dxa" w:w="1728"/>
          </w:tcPr>
          <w:p>
            <w:r>
              <w:t>advanceId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SalaryAdvance</w:t>
            </w:r>
          </w:p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per payslip, not recomputed at finalize time</w:t>
            </w:r>
          </w:p>
        </w:tc>
      </w:tr>
    </w:tbl>
    <w:p>
      <w:pPr>
        <w:pStyle w:val="Heading3"/>
      </w:pPr>
      <w:r>
        <w:t>PayrollAdjustment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PayrollPeriod, Cascade</w:t>
            </w:r>
          </w:p>
        </w:tc>
      </w:tr>
      <w:tr>
        <w:tc>
          <w:tcPr>
            <w:tcW w:type="dxa" w:w="1728"/>
          </w:tcPr>
          <w:p>
            <w:r>
              <w:t>employeeId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Employee</w:t>
            </w:r>
          </w:p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PayrollAdjustmentType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label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amountUgx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taxable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>
            <w:r>
              <w:t>Only meaningful for BONUS/OVERTIME/OTHER_EARNING — deductions are always post-tax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User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Activity log / audit trail</w:t>
      </w:r>
    </w:p>
    <w:p>
      <w:pPr>
        <w:pStyle w:val="Heading3"/>
      </w:pPr>
      <w:r>
        <w:t>ActivityLog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actorUserId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string, snapshotted</w:t>
            </w:r>
          </w:p>
        </w:tc>
      </w:tr>
      <w:tr>
        <w:tc>
          <w:tcPr>
            <w:tcW w:type="dxa" w:w="1728"/>
          </w:tcPr>
          <w:p>
            <w:r>
              <w:t>actorRole</w:t>
            </w:r>
          </w:p>
        </w:tc>
        <w:tc>
          <w:tcPr>
            <w:tcW w:type="dxa" w:w="1728"/>
          </w:tcPr>
          <w:p>
            <w:r>
              <w:t>UserRole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— a later role change doesn't rewrite past entries</w:t>
            </w:r>
          </w:p>
        </w:tc>
      </w:tr>
      <w:tr>
        <w:tc>
          <w:tcPr>
            <w:tcW w:type="dxa" w:w="1728"/>
          </w:tcPr>
          <w:p>
            <w:r>
              <w:t>actorType</w:t>
            </w:r>
          </w:p>
        </w:tc>
        <w:tc>
          <w:tcPr>
            <w:tcW w:type="dxa" w:w="1728"/>
          </w:tcPr>
          <w:p>
            <w:r>
              <w:t>ActivityActorType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CUSTOMER / STAFF / SYSTEM</w:t>
            </w:r>
          </w:p>
        </w:tc>
      </w:tr>
      <w:tr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Machine-readable code, e.g. </w:t>
            </w:r>
            <w:r>
              <w:rPr>
                <w:rFonts w:ascii="Consolas" w:hAnsi="Consolas"/>
                <w:sz w:val="20"/>
              </w:rPr>
              <w:t>CUSTOMER_SUSPENDED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ORDER_STATUS_CHANGED</w:t>
            </w:r>
          </w:p>
        </w:tc>
      </w:tr>
      <w:tr>
        <w:tc>
          <w:tcPr>
            <w:tcW w:type="dxa" w:w="1728"/>
          </w:tcPr>
          <w:p>
            <w:r>
              <w:t>entityType / 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metadata</w:t>
            </w:r>
          </w:p>
        </w:tc>
        <w:tc>
          <w:tcPr>
            <w:tcW w:type="dxa" w:w="1728"/>
          </w:tcPr>
          <w:p>
            <w:r>
              <w:t>Json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Must never contain passwords/tokens/secrets</w:t>
            </w:r>
          </w:p>
        </w:tc>
      </w:tr>
      <w:tr>
        <w:tc>
          <w:tcPr>
            <w:tcW w:type="dxa" w:w="1728"/>
          </w:tcPr>
          <w:p>
            <w:r>
              <w:t>ipAddress / userAgent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@@index</w:t>
            </w:r>
            <w:r>
              <w:t xml:space="preserve"> on actorUserId, </w:t>
            </w:r>
            <w:r>
              <w:rPr>
                <w:rFonts w:ascii="Consolas" w:hAnsi="Consolas"/>
                <w:sz w:val="20"/>
              </w:rPr>
              <w:t>[entityType, entityId]</w:t>
            </w:r>
            <w:r>
              <w:t>, action, createdAt</w:t>
            </w:r>
          </w:p>
        </w:tc>
      </w:tr>
    </w:tbl>
    <w:p>
      <w:pPr>
        <w:pStyle w:val="Heading2"/>
      </w:pPr>
      <w:r>
        <w:t>Financial &amp; accounting (multi-entity)</w:t>
      </w:r>
    </w:p>
    <w:p>
      <w:pPr>
        <w:pStyle w:val="Heading3"/>
      </w:pPr>
      <w:r>
        <w:t>LegalEntity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name / code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Both </w:t>
            </w:r>
            <w:r>
              <w:rPr>
                <w:rFonts w:ascii="Consolas" w:hAnsi="Consolas"/>
                <w:sz w:val="20"/>
              </w:rPr>
              <w:t>@unique</w:t>
            </w:r>
          </w:p>
        </w:tc>
      </w:tr>
      <w:tr>
        <w:tc>
          <w:tcPr>
            <w:tcW w:type="dxa" w:w="1728"/>
          </w:tcPr>
          <w:p>
            <w:r>
              <w:t>functionalCurrency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ISO 4217</w:t>
            </w:r>
          </w:p>
        </w:tc>
      </w:tr>
      <w:tr>
        <w:tc>
          <w:tcPr>
            <w:tcW w:type="dxa" w:w="1728"/>
          </w:tcPr>
          <w:p>
            <w:r>
              <w:t>parentEntityId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 (self); null = the group's ultimate parent</w:t>
            </w:r>
          </w:p>
        </w:tc>
      </w:tr>
      <w:tr>
        <w:tc>
          <w:tcPr>
            <w:tcW w:type="dxa" w:w="1728"/>
          </w:tcPr>
          <w:p>
            <w:r>
              <w:t>currentGroupFxRate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No live FX feed — re-priced manually; period-snapshotting is follow-up work</w:t>
            </w:r>
          </w:p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GroupSettings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reportingCurrency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"UGX"</w:t>
            </w:r>
          </w:p>
        </w:tc>
        <w:tc>
          <w:tcPr>
            <w:tcW w:type="dxa" w:w="1728"/>
          </w:tcPr>
          <w:p>
            <w:r>
              <w:t>Singleton — always read as the first row, no UI/API to create a second</w:t>
            </w:r>
          </w:p>
        </w:tc>
      </w:tr>
      <w:tr>
        <w:tc>
          <w:tcPr>
            <w:tcW w:type="dxa" w:w="1728"/>
          </w:tcPr>
          <w:p>
            <w:r>
              <w:t>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auto</w:t>
            </w:r>
          </w:p>
        </w:tc>
        <w:tc>
          <w:tcPr>
            <w:tcW w:type="dxa" w:w="1728"/>
          </w:tcPr>
          <w:p/>
        </w:tc>
      </w:tr>
    </w:tbl>
    <w:p>
      <w:pPr>
        <w:pStyle w:val="Heading3"/>
      </w:pPr>
      <w:r>
        <w:t>Account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code / name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AccountType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ASSET/LIABILITY/EQUITY/REVENUE/EXPENSE</w:t>
            </w:r>
          </w:p>
        </w:tc>
      </w:tr>
      <w:tr>
        <w:tc>
          <w:tcPr>
            <w:tcW w:type="dxa" w:w="1728"/>
          </w:tcPr>
          <w:p>
            <w:r>
              <w:t>parentAccountId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Account (self)</w:t>
            </w:r>
          </w:p>
        </w:tc>
      </w:tr>
      <w:tr>
        <w:tc>
          <w:tcPr>
            <w:tcW w:type="dxa" w:w="1728"/>
          </w:tcPr>
          <w:p>
            <w:r>
              <w:t>cashFlowCategory</w:t>
            </w:r>
          </w:p>
        </w:tc>
        <w:tc>
          <w:tcPr>
            <w:tcW w:type="dxa" w:w="1728"/>
          </w:tcPr>
          <w:p>
            <w:r>
              <w:t>CashFlowCategory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Only meaningful for ASSET/LIABILITY</w:t>
            </w:r>
          </w:p>
        </w:tc>
      </w:tr>
      <w:tr>
        <w:tc>
          <w:tcPr>
            <w:tcW w:type="dxa" w:w="1728"/>
          </w:tcPr>
          <w:p>
            <w:r>
              <w:t>isIntercompany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false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counterpartyEntityId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 — marks which entity an intercompany account nets against</w:t>
            </w:r>
          </w:p>
        </w:tc>
      </w:tr>
      <w:tr>
        <w:tc>
          <w:tcPr>
            <w:tcW w:type="dxa" w:w="1728"/>
          </w:tcPr>
          <w:p>
            <w:r>
              <w:t>isActive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true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 / updatedAt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 / auto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code])</w:t>
            </w:r>
          </w:p>
        </w:tc>
      </w:tr>
    </w:tbl>
    <w:p>
      <w:pPr>
        <w:pStyle w:val="Heading3"/>
      </w:pPr>
      <w:r>
        <w:t>FiscalPeriod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month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First of month, UTC-midnight</w:t>
            </w:r>
          </w:p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FiscalPeriodStatus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  <w:tc>
          <w:tcPr>
            <w:tcW w:type="dxa" w:w="1728"/>
          </w:tcPr>
          <w:p>
            <w:r>
              <w:t>Journal entries can only post into an OPEN period</w:t>
            </w:r>
          </w:p>
        </w:tc>
      </w:tr>
      <w:tr>
        <w:tc>
          <w:tcPr>
            <w:tcW w:type="dxa" w:w="1728"/>
          </w:tcPr>
          <w:p>
            <w:r>
              <w:t>closedAt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month])</w:t>
            </w:r>
          </w:p>
        </w:tc>
      </w:tr>
    </w:tbl>
    <w:p>
      <w:pPr>
        <w:pStyle w:val="Heading3"/>
      </w:pPr>
      <w:r>
        <w:t>JournalEntry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LegalEntity</w:t>
            </w:r>
          </w:p>
        </w:tc>
      </w:tr>
      <w:tr>
        <w:tc>
          <w:tcPr>
            <w:tcW w:type="dxa" w:w="1728"/>
          </w:tcPr>
          <w:p>
            <w:r>
              <w:t>fiscalPeriodId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FiscalPeriod</w:t>
            </w:r>
          </w:p>
        </w:tc>
      </w:tr>
      <w:tr>
        <w:tc>
          <w:tcPr>
            <w:tcW w:type="dxa" w:w="1728"/>
          </w:tcPr>
          <w:p>
            <w:r>
              <w:t>entryNumber</w:t>
            </w:r>
          </w:p>
        </w:tc>
        <w:tc>
          <w:tcPr>
            <w:tcW w:type="dxa" w:w="1728"/>
          </w:tcPr>
          <w:p>
            <w:r>
              <w:t>Int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Sequential per entity — same race-window caveat as </w:t>
            </w:r>
            <w:r>
              <w:rPr>
                <w:rFonts w:ascii="Consolas" w:hAnsi="Consolas"/>
                <w:sz w:val="20"/>
              </w:rPr>
              <w:t>Order.orderNumber</w:t>
            </w:r>
          </w:p>
        </w:tc>
      </w:tr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JournalEntryStatus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POSTED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fxRateToGroupCurrency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Snapshotted at posting time</w:t>
            </w:r>
          </w:p>
        </w:tc>
      </w:tr>
      <w:tr>
        <w:tc>
          <w:tcPr>
            <w:tcW w:type="dxa" w:w="1728"/>
          </w:tcPr>
          <w:p>
            <w:r>
              <w:t>intercompanyGroupId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Links the linked entries of one intercompany transaction across entities</w:t>
            </w:r>
          </w:p>
        </w:tc>
      </w:tr>
      <w:tr>
        <w:tc>
          <w:tcPr>
            <w:tcW w:type="dxa" w:w="1728"/>
          </w:tcPr>
          <w:p>
            <w:r>
              <w:t>createdByUserId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Plain string, not a </w:t>
            </w:r>
            <w:r>
              <w:rPr>
                <w:rFonts w:ascii="Consolas" w:hAnsi="Consolas"/>
                <w:sz w:val="20"/>
              </w:rPr>
              <w:t>@relation</w:t>
            </w:r>
            <w:r>
              <w:t xml:space="preserve"> (unusual for this schema — see the ERD doc's callout list)</w:t>
            </w:r>
          </w:p>
        </w:tc>
      </w:tr>
      <w:tr>
        <w:tc>
          <w:tcPr>
            <w:tcW w:type="dxa" w:w="1728"/>
          </w:tcPr>
          <w:p>
            <w:r>
              <w:t>createdAt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20"/>
              </w:rPr>
              <w:t>@@unique([entityId, entryNumber])</w:t>
            </w:r>
          </w:p>
        </w:tc>
      </w:tr>
    </w:tbl>
    <w:p>
      <w:pPr>
        <w:pStyle w:val="Heading3"/>
      </w:pPr>
      <w:r>
        <w:t>JournalEntryLine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journalEntryId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JournalEntry, Cascade</w:t>
            </w:r>
          </w:p>
        </w:tc>
      </w:tr>
      <w:tr>
        <w:tc>
          <w:tcPr>
            <w:tcW w:type="dxa" w:w="1728"/>
          </w:tcPr>
          <w:p>
            <w:r>
              <w:t>accountId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FK → Account</w:t>
            </w:r>
          </w:p>
        </w:tc>
      </w:tr>
      <w:tr>
        <w:tc>
          <w:tcPr>
            <w:tcW w:type="dxa" w:w="1728"/>
          </w:tcPr>
          <w:p>
            <w:r>
              <w:t>debitAmount / creditAmount</w:t>
            </w:r>
          </w:p>
        </w:tc>
        <w:tc>
          <w:tcPr>
            <w:tcW w:type="dxa" w:w="1728"/>
          </w:tcPr>
          <w:p>
            <w:r>
              <w:t>Decimal(18,2)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 xml:space="preserve">Exactly one non-zero — enforced in </w:t>
            </w:r>
            <w:r>
              <w:rPr>
                <w:rFonts w:ascii="Consolas" w:hAnsi="Consolas"/>
                <w:sz w:val="20"/>
              </w:rPr>
              <w:t>JournalService</w:t>
            </w:r>
            <w:r>
              <w:t>, not a DB constraint</w:t>
            </w:r>
          </w:p>
        </w:tc>
      </w:tr>
      <w:tr>
        <w:tc>
          <w:tcPr>
            <w:tcW w:type="dxa" w:w="1728"/>
          </w:tcPr>
          <w:p>
            <w:r>
              <w:t>memo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</w:tbl>
    <w:p>
      <w:pPr>
        <w:pStyle w:val="Heading2"/>
      </w:pPr>
      <w:r>
        <w:t>Marketplace &amp; payments (cont'd) — Exchange rate audit</w:t>
      </w:r>
    </w:p>
    <w:p>
      <w:pPr>
        <w:pStyle w:val="Heading3"/>
      </w:pPr>
      <w:r>
        <w:t>ExchangeRateHistory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Nullable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legalEntityId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</w:t>
            </w:r>
          </w:p>
        </w:tc>
      </w:tr>
      <w:tr>
        <w:tc>
          <w:tcPr>
            <w:tcW w:type="dxa" w:w="1728"/>
          </w:tcPr>
          <w:p>
            <w:r>
              <w:t>fromRate / toRate</w:t>
            </w:r>
          </w:p>
        </w:tc>
        <w:tc>
          <w:tcPr>
            <w:tcW w:type="dxa" w:w="1728"/>
          </w:tcPr>
          <w:p>
            <w:r>
              <w:t>Decimal(18,6)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changedByUserId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a real FK</w:t>
            </w:r>
            <w:r>
              <w:t xml:space="preserve"> — plain string</w:t>
            </w:r>
          </w:p>
        </w:tc>
      </w:tr>
      <w:tr>
        <w:tc>
          <w:tcPr>
            <w:tcW w:type="dxa" w:w="1728"/>
          </w:tcPr>
          <w:p>
            <w:r>
              <w:t>changedAt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now()</w:t>
            </w:r>
          </w:p>
        </w:tc>
        <w:tc>
          <w:tcPr>
            <w:tcW w:type="dxa" w:w="1728"/>
          </w:tcPr>
          <w:p>
            <w:r>
              <w:t xml:space="preserve">Written every time </w:t>
            </w:r>
            <w:r>
              <w:rPr>
                <w:rFonts w:ascii="Consolas" w:hAnsi="Consolas"/>
                <w:sz w:val="20"/>
              </w:rPr>
              <w:t>LegalEntity.currentGroupFxRate</w:t>
            </w:r>
            <w:r>
              <w:t xml:space="preserve"> changes — the audit trail of how the live rate got there</w:t>
            </w:r>
          </w:p>
        </w:tc>
      </w:tr>
    </w:tbl>
    <w:p>
      <w:pPr>
        <w:pStyle w:val="Heading2"/>
      </w:pPr>
      <w:r>
        <w:t>Enums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UserRole</w:t>
            </w:r>
          </w:p>
        </w:tc>
        <w:tc>
          <w:tcPr>
            <w:tcW w:type="dxa" w:w="2880"/>
          </w:tcPr>
          <w:p>
            <w:r>
              <w:t>CUSTOMER, OWNER, STORE_MANAGER, FULFILLMENT, SUPPORT_AGENT, HR_MANAGER, DRIVER</w:t>
            </w:r>
          </w:p>
        </w:tc>
        <w:tc>
          <w:tcPr>
            <w:tcW w:type="dxa" w:w="2880"/>
          </w:tcPr>
          <w:p>
            <w:r>
              <w:t xml:space="preserve">Access-control role, staff + customer. </w:t>
            </w:r>
            <w:r>
              <w:rPr>
                <w:rFonts w:ascii="Consolas" w:hAnsi="Consolas"/>
                <w:sz w:val="20"/>
              </w:rPr>
              <w:t>DRIVER</w:t>
            </w:r>
            <w:r>
              <w:t xml:space="preserve"> added commit </w:t>
            </w:r>
            <w:r>
              <w:rPr>
                <w:rFonts w:ascii="Consolas" w:hAnsi="Consolas"/>
                <w:sz w:val="20"/>
              </w:rPr>
              <w:t>75b7cff</w:t>
            </w:r>
            <w:r>
              <w:t xml:space="preserve"> (Driver App, not in original SRS)</w:t>
            </w:r>
          </w:p>
        </w:tc>
      </w:tr>
      <w:tr>
        <w:tc>
          <w:tcPr>
            <w:tcW w:type="dxa" w:w="2880"/>
          </w:tcPr>
          <w:p>
            <w:r>
              <w:t>CustomerTier</w:t>
            </w:r>
          </w:p>
        </w:tc>
        <w:tc>
          <w:tcPr>
            <w:tcW w:type="dxa" w:w="2880"/>
          </w:tcPr>
          <w:p>
            <w:r>
              <w:t>STANDARD, GOLD, WHOLESALE</w:t>
            </w:r>
          </w:p>
        </w:tc>
        <w:tc>
          <w:tcPr>
            <w:tcW w:type="dxa" w:w="2880"/>
          </w:tcPr>
          <w:p>
            <w:r>
              <w:t>Loyalty/pricing tier</w:t>
            </w:r>
          </w:p>
        </w:tc>
      </w:tr>
      <w:tr>
        <w:tc>
          <w:tcPr>
            <w:tcW w:type="dxa" w:w="2880"/>
          </w:tcPr>
          <w:p>
            <w:r>
              <w:t>NotificationType</w:t>
            </w:r>
          </w:p>
        </w:tc>
        <w:tc>
          <w:tcPr>
            <w:tcW w:type="dxa" w:w="2880"/>
          </w:tcPr>
          <w:p>
            <w:r>
              <w:t>NEWSLETTER</w:t>
            </w:r>
          </w:p>
        </w:tc>
        <w:tc>
          <w:tcPr>
            <w:tcW w:type="dxa" w:w="2880"/>
          </w:tcPr>
          <w:p>
            <w:r>
              <w:t>In-app notification discriminator</w:t>
            </w:r>
          </w:p>
        </w:tc>
      </w:tr>
      <w:tr>
        <w:tc>
          <w:tcPr>
            <w:tcW w:type="dxa" w:w="2880"/>
          </w:tcPr>
          <w:p>
            <w:r>
              <w:t>OtpChannel</w:t>
            </w:r>
          </w:p>
        </w:tc>
        <w:tc>
          <w:tcPr>
            <w:tcW w:type="dxa" w:w="2880"/>
          </w:tcPr>
          <w:p>
            <w:r>
              <w:t>EMAIL, SMS</w:t>
            </w:r>
          </w:p>
        </w:tc>
        <w:tc>
          <w:tcPr>
            <w:tcW w:type="dxa" w:w="2880"/>
          </w:tcPr>
          <w:p>
            <w:r>
              <w:t>Registration OTP delivery channel</w:t>
            </w:r>
          </w:p>
        </w:tc>
      </w:tr>
      <w:tr>
        <w:tc>
          <w:tcPr>
            <w:tcW w:type="dxa" w:w="2880"/>
          </w:tcPr>
          <w:p>
            <w:r>
              <w:t>OtpPurpose</w:t>
            </w:r>
          </w:p>
        </w:tc>
        <w:tc>
          <w:tcPr>
            <w:tcW w:type="dxa" w:w="2880"/>
          </w:tcPr>
          <w:p>
            <w:r>
              <w:t>REGISTRATION</w:t>
            </w:r>
          </w:p>
        </w:tc>
        <w:tc>
          <w:tcPr>
            <w:tcW w:type="dxa" w:w="2880"/>
          </w:tcPr>
          <w:p>
            <w:r>
              <w:t>Only value in use</w:t>
            </w:r>
          </w:p>
        </w:tc>
      </w:tr>
      <w:tr>
        <w:tc>
          <w:tcPr>
            <w:tcW w:type="dxa" w:w="2880"/>
          </w:tcPr>
          <w:p>
            <w:r>
              <w:t>AddressType</w:t>
            </w:r>
          </w:p>
        </w:tc>
        <w:tc>
          <w:tcPr>
            <w:tcW w:type="dxa" w:w="2880"/>
          </w:tcPr>
          <w:p>
            <w:r>
              <w:t>SHIPPING, BILLING</w:t>
            </w:r>
          </w:p>
        </w:tc>
        <w:tc>
          <w:tcPr>
            <w:tcW w:type="dxa" w:w="2880"/>
          </w:tcPr>
          <w:p>
            <w:r>
              <w:t xml:space="preserve">Scopes </w:t>
            </w:r>
            <w:r>
              <w:rPr>
                <w:rFonts w:ascii="Consolas" w:hAnsi="Consolas"/>
                <w:sz w:val="20"/>
              </w:rPr>
              <w:t>Address.isDefault</w:t>
            </w:r>
          </w:p>
        </w:tc>
      </w:tr>
      <w:tr>
        <w:tc>
          <w:tcPr>
            <w:tcW w:type="dxa" w:w="2880"/>
          </w:tcPr>
          <w:p>
            <w:r>
              <w:t>PaymentMethodType</w:t>
            </w:r>
          </w:p>
        </w:tc>
        <w:tc>
          <w:tcPr>
            <w:tcW w:type="dxa" w:w="2880"/>
          </w:tcPr>
          <w:p>
            <w:r>
              <w:t>MOBILE_MONEY, CARD, PAYPAL</w:t>
            </w:r>
          </w:p>
        </w:tc>
        <w:tc>
          <w:tcPr>
            <w:tcW w:type="dxa" w:w="2880"/>
          </w:tcPr>
          <w:p>
            <w:r>
              <w:t>Only MOBILE_MONEY fully supported</w:t>
            </w:r>
          </w:p>
        </w:tc>
      </w:tr>
      <w:tr>
        <w:tc>
          <w:tcPr>
            <w:tcW w:type="dxa" w:w="2880"/>
          </w:tcPr>
          <w:p>
            <w:r>
              <w:t>ProductStatus</w:t>
            </w:r>
          </w:p>
        </w:tc>
        <w:tc>
          <w:tcPr>
            <w:tcW w:type="dxa" w:w="2880"/>
          </w:tcPr>
          <w:p>
            <w:r>
              <w:t>DRAFT, ACTIVE, ARCHIVED</w:t>
            </w:r>
          </w:p>
        </w:tc>
        <w:tc>
          <w:tcPr>
            <w:tcW w:type="dxa" w:w="2880"/>
          </w:tcPr>
          <w:p>
            <w:r>
              <w:t>ARCHIVED replaces hard-delete once order history exists</w:t>
            </w:r>
          </w:p>
        </w:tc>
      </w:tr>
      <w:tr>
        <w:tc>
          <w:tcPr>
            <w:tcW w:type="dxa" w:w="2880"/>
          </w:tcPr>
          <w:p>
            <w:r>
              <w:t>OrderStatus</w:t>
            </w:r>
          </w:p>
        </w:tc>
        <w:tc>
          <w:tcPr>
            <w:tcW w:type="dxa" w:w="2880"/>
          </w:tcPr>
          <w:p>
            <w:r>
              <w:t>PENDING, PROCESSING, SHIPPED, DELIVERED, REFUND_REQUESTED, REFUNDED, CANCELLED</w:t>
            </w:r>
          </w:p>
        </w:tc>
        <w:tc>
          <w:tcPr>
            <w:tcW w:type="dxa" w:w="2880"/>
          </w:tcPr>
          <w:p>
            <w:r>
              <w:t>Governed by an explicit transition state machine</w:t>
            </w:r>
          </w:p>
        </w:tc>
      </w:tr>
      <w:tr>
        <w:tc>
          <w:tcPr>
            <w:tcW w:type="dxa" w:w="2880"/>
          </w:tcPr>
          <w:p>
            <w:r>
              <w:t>DeliveryStatus</w:t>
            </w:r>
          </w:p>
        </w:tc>
        <w:tc>
          <w:tcPr>
            <w:tcW w:type="dxa" w:w="2880"/>
          </w:tcPr>
          <w:p>
            <w:r>
              <w:t>ASSIGNED, EN_ROUTE_TO_PICKUP, PICKED_UP, EN_ROUTE_TO_CUSTOMER, DELIVERED, FAILED</w:t>
            </w:r>
          </w:p>
        </w:tc>
        <w:tc>
          <w:tcPr>
            <w:tcW w:type="dxa" w:w="2880"/>
          </w:tcPr>
          <w:p>
            <w:r>
              <w:t xml:space="preserve">Driver App (commit </w:t>
            </w:r>
            <w:r>
              <w:rPr>
                <w:rFonts w:ascii="Consolas" w:hAnsi="Consolas"/>
                <w:sz w:val="20"/>
              </w:rPr>
              <w:t>75b7cff</w:t>
            </w:r>
            <w:r>
              <w:t xml:space="preserve">, not in original SRS) — </w:t>
            </w:r>
            <w:r>
              <w:rPr>
                <w:rFonts w:ascii="Consolas" w:hAnsi="Consolas"/>
                <w:sz w:val="20"/>
              </w:rPr>
              <w:t>PICKED_UP</w:t>
            </w:r>
            <w:r>
              <w:t>/</w:t>
            </w:r>
            <w:r>
              <w:rPr>
                <w:rFonts w:ascii="Consolas" w:hAnsi="Consolas"/>
                <w:sz w:val="20"/>
              </w:rPr>
              <w:t>DELIVERED</w:t>
            </w:r>
            <w:r>
              <w:t xml:space="preserve"> mirror onto </w:t>
            </w:r>
            <w:r>
              <w:rPr>
                <w:rFonts w:ascii="Consolas" w:hAnsi="Consolas"/>
                <w:sz w:val="20"/>
              </w:rPr>
              <w:t>Order.status</w:t>
            </w:r>
            <w:r>
              <w:t xml:space="preserve"> (SHIPPED/DELIVERED respectively); </w:t>
            </w:r>
            <w:r>
              <w:rPr>
                <w:rFonts w:ascii="Consolas" w:hAnsi="Consolas"/>
                <w:sz w:val="20"/>
              </w:rPr>
              <w:t>FAILED</w:t>
            </w:r>
            <w:r>
              <w:t xml:space="preserve"> reachable from any in-progress state, terminal like </w:t>
            </w:r>
            <w:r>
              <w:rPr>
                <w:rFonts w:ascii="Consolas" w:hAnsi="Consolas"/>
                <w:sz w:val="20"/>
              </w:rPr>
              <w:t>DELIVERED</w:t>
            </w:r>
          </w:p>
        </w:tc>
      </w:tr>
      <w:tr>
        <w:tc>
          <w:tcPr>
            <w:tcW w:type="dxa" w:w="2880"/>
          </w:tcPr>
          <w:p>
            <w:r>
              <w:t>DriverStatus</w:t>
            </w:r>
          </w:p>
        </w:tc>
        <w:tc>
          <w:tcPr>
            <w:tcW w:type="dxa" w:w="2880"/>
          </w:tcPr>
          <w:p>
            <w:r>
              <w:t>OFFLINE, AVAILABLE, ON_DELIVERY</w:t>
            </w:r>
          </w:p>
        </w:tc>
        <w:tc>
          <w:tcPr>
            <w:tcW w:type="dxa" w:w="2880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self-reported driver availability, </w:t>
            </w:r>
            <w:r>
              <w:rPr>
                <w:rFonts w:ascii="Consolas" w:hAnsi="Consolas"/>
                <w:sz w:val="20"/>
              </w:rPr>
              <w:t>User.driverStatus</w:t>
            </w:r>
          </w:p>
        </w:tc>
      </w:tr>
      <w:tr>
        <w:tc>
          <w:tcPr>
            <w:tcW w:type="dxa" w:w="2880"/>
          </w:tcPr>
          <w:p>
            <w:r>
              <w:t>DeliveryPriority</w:t>
            </w:r>
          </w:p>
        </w:tc>
        <w:tc>
          <w:tcPr>
            <w:tcW w:type="dxa" w:w="2880"/>
          </w:tcPr>
          <w:p>
            <w:r>
              <w:t>NORMAL, URGENT</w:t>
            </w:r>
          </w:p>
        </w:tc>
        <w:tc>
          <w:tcPr>
            <w:tcW w:type="dxa" w:w="2880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445a258</w:t>
            </w:r>
            <w:r>
              <w:t xml:space="preserve"> — set at assignment, ordering hint for the driver's own list</w:t>
            </w:r>
          </w:p>
        </w:tc>
      </w:tr>
      <w:tr>
        <w:tc>
          <w:tcPr>
            <w:tcW w:type="dxa" w:w="2880"/>
          </w:tcPr>
          <w:p>
            <w:r>
              <w:t>DeliveryMethod</w:t>
            </w:r>
          </w:p>
        </w:tc>
        <w:tc>
          <w:tcPr>
            <w:tcW w:type="dxa" w:w="2880"/>
          </w:tcPr>
          <w:p>
            <w:r>
              <w:t>STANDARD, EXPRESS, SAME_DAY</w:t>
            </w:r>
          </w:p>
        </w:tc>
        <w:tc>
          <w:tcPr>
            <w:tcW w:type="dxa" w:w="2880"/>
          </w:tcPr>
          <w:p>
            <w:r>
              <w:t>Fee for each is looked up per-</w:t>
            </w:r>
            <w:r>
              <w:rPr>
                <w:rFonts w:ascii="Consolas" w:hAnsi="Consolas"/>
                <w:sz w:val="20"/>
              </w:rPr>
              <w:t>ShippingZone</w:t>
            </w:r>
            <w:r>
              <w:t xml:space="preserve"> (added this session), not a fixed price per method</w:t>
            </w:r>
          </w:p>
        </w:tc>
      </w:tr>
      <w:tr>
        <w:tc>
          <w:tcPr>
            <w:tcW w:type="dxa" w:w="2880"/>
          </w:tcPr>
          <w:p>
            <w:r>
              <w:t>CouponType</w:t>
            </w:r>
          </w:p>
        </w:tc>
        <w:tc>
          <w:tcPr>
            <w:tcW w:type="dxa" w:w="2880"/>
          </w:tcPr>
          <w:p>
            <w:r>
              <w:t>PERCENT_OFF, FIXED_OFF, FREE_SHIPPING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TicketStatus</w:t>
            </w:r>
          </w:p>
        </w:tc>
        <w:tc>
          <w:tcPr>
            <w:tcW w:type="dxa" w:w="2880"/>
          </w:tcPr>
          <w:p>
            <w:r>
              <w:t>OPEN, IN_PROGRESS, RESOLVED, CLOSED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CmsStatus</w:t>
            </w:r>
          </w:p>
        </w:tc>
        <w:tc>
          <w:tcPr>
            <w:tcW w:type="dxa" w:w="2880"/>
          </w:tcPr>
          <w:p>
            <w:r>
              <w:t>DRAFT, PUBLISHED</w:t>
            </w:r>
          </w:p>
        </w:tc>
        <w:tc>
          <w:tcPr>
            <w:tcW w:type="dxa" w:w="2880"/>
          </w:tcPr>
          <w:p>
            <w:r>
              <w:t>Shared by CmsPage/BlogPost</w:t>
            </w:r>
          </w:p>
        </w:tc>
      </w:tr>
      <w:tr>
        <w:tc>
          <w:tcPr>
            <w:tcW w:type="dxa" w:w="2880"/>
          </w:tcPr>
          <w:p>
            <w:r>
              <w:t>EmploymentType</w:t>
            </w:r>
          </w:p>
        </w:tc>
        <w:tc>
          <w:tcPr>
            <w:tcW w:type="dxa" w:w="2880"/>
          </w:tcPr>
          <w:p>
            <w:r>
              <w:t>FULL_TIME, PART_TIME, CONTRACT, INTERN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EmploymentStatus</w:t>
            </w:r>
          </w:p>
        </w:tc>
        <w:tc>
          <w:tcPr>
            <w:tcW w:type="dxa" w:w="2880"/>
          </w:tcPr>
          <w:p>
            <w:r>
              <w:t>ACTIVE, ON_LEAVE, SUSPENDED, TERMINATED</w:t>
            </w:r>
          </w:p>
        </w:tc>
        <w:tc>
          <w:tcPr>
            <w:tcW w:type="dxa" w:w="2880"/>
          </w:tcPr>
          <w:p>
            <w:r>
              <w:t>TERMINATED is the "delete" for Employee</w:t>
            </w:r>
          </w:p>
        </w:tc>
      </w:tr>
      <w:tr>
        <w:tc>
          <w:tcPr>
            <w:tcW w:type="dxa" w:w="2880"/>
          </w:tcPr>
          <w:p>
            <w:r>
              <w:t>EmploymentChangeType</w:t>
            </w:r>
          </w:p>
        </w:tc>
        <w:tc>
          <w:tcPr>
            <w:tcW w:type="dxa" w:w="2880"/>
          </w:tcPr>
          <w:p>
            <w:r>
              <w:t>HIRED, PROMOTION, TRANSFER, SALARY_CHANGE, ROLE_CHANGE, SUSPENSION, REINSTATEMENT, TERMINATION, REHIRE</w:t>
            </w:r>
          </w:p>
        </w:tc>
        <w:tc>
          <w:tcPr>
            <w:tcW w:type="dxa" w:w="2880"/>
          </w:tcPr>
          <w:p>
            <w:r>
              <w:t xml:space="preserve">Drives auto-logged </w:t>
            </w:r>
            <w:r>
              <w:rPr>
                <w:rFonts w:ascii="Consolas" w:hAnsi="Consolas"/>
                <w:sz w:val="20"/>
              </w:rPr>
              <w:t>EmploymentHistoryEntry</w:t>
            </w:r>
            <w:r>
              <w:t xml:space="preserve"> rows</w:t>
            </w:r>
          </w:p>
        </w:tc>
      </w:tr>
      <w:tr>
        <w:tc>
          <w:tcPr>
            <w:tcW w:type="dxa" w:w="2880"/>
          </w:tcPr>
          <w:p>
            <w:r>
              <w:t>EmployeeDocumentType</w:t>
            </w:r>
          </w:p>
        </w:tc>
        <w:tc>
          <w:tcPr>
            <w:tcW w:type="dxa" w:w="2880"/>
          </w:tcPr>
          <w:p>
            <w:r>
              <w:t>CONTRACT, ID_DOCUMENT, CERTIFICATE, PERFORMANCE_NOTE,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PermissionResource</w:t>
            </w:r>
          </w:p>
        </w:tc>
        <w:tc>
          <w:tcPr>
            <w:tcW w:type="dxa" w:w="2880"/>
          </w:tcPr>
          <w:p>
            <w:r>
              <w:t>PRODUCTS, ORDERS, INVENTORY, CUSTOMERS, MARKETING, CMS, SETTINGS, HR_DASHBOARD, HR_EMPLOYEES, HR_ATTENDANCE, HR_LEAVE, HR_SHIFTS, HR_RECRUITMENT, HR_PAYROLL, HR_PERFORMANCE</w:t>
            </w:r>
          </w:p>
        </w:tc>
        <w:tc>
          <w:tcPr>
            <w:tcW w:type="dxa" w:w="2880"/>
          </w:tcPr>
          <w:p>
            <w:r>
              <w:t xml:space="preserve">One per admin nav area — mirrors </w:t>
            </w:r>
            <w:r>
              <w:rPr>
                <w:rFonts w:ascii="Consolas" w:hAnsi="Consolas"/>
                <w:sz w:val="20"/>
              </w:rPr>
              <w:t>admin-shell.tsx</w:t>
            </w:r>
            <w:r>
              <w:t xml:space="preserve"> exactly</w:t>
            </w:r>
          </w:p>
        </w:tc>
      </w:tr>
      <w:tr>
        <w:tc>
          <w:tcPr>
            <w:tcW w:type="dxa" w:w="2880"/>
          </w:tcPr>
          <w:p>
            <w:r>
              <w:t>AttendanceSource</w:t>
            </w:r>
          </w:p>
        </w:tc>
        <w:tc>
          <w:tcPr>
            <w:tcW w:type="dxa" w:w="2880"/>
          </w:tcPr>
          <w:p>
            <w:r>
              <w:t>WEB</w:t>
            </w:r>
          </w:p>
        </w:tc>
        <w:tc>
          <w:tcPr>
            <w:tcW w:type="dxa" w:w="2880"/>
          </w:tcPr>
          <w:p>
            <w:r>
              <w:t>Only value — no biometric/device integration</w:t>
            </w:r>
          </w:p>
        </w:tc>
      </w:tr>
      <w:tr>
        <w:tc>
          <w:tcPr>
            <w:tcW w:type="dxa" w:w="2880"/>
          </w:tcPr>
          <w:p>
            <w:r>
              <w:t>LeaveType</w:t>
            </w:r>
          </w:p>
        </w:tc>
        <w:tc>
          <w:tcPr>
            <w:tcW w:type="dxa" w:w="2880"/>
          </w:tcPr>
          <w:p>
            <w:r>
              <w:t>ANNUAL, SICK, MATERNITY, PATERNITY, UNPAID,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LeaveRequestStatus</w:t>
            </w:r>
          </w:p>
        </w:tc>
        <w:tc>
          <w:tcPr>
            <w:tcW w:type="dxa" w:w="2880"/>
          </w:tcPr>
          <w:p>
            <w:r>
              <w:t>PENDING, APPROVED, REJECTED,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ShiftStatus</w:t>
            </w:r>
          </w:p>
        </w:tc>
        <w:tc>
          <w:tcPr>
            <w:tcW w:type="dxa" w:w="2880"/>
          </w:tcPr>
          <w:p>
            <w:r>
              <w:t>SCHEDULED,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ShiftSwapStatus</w:t>
            </w:r>
          </w:p>
        </w:tc>
        <w:tc>
          <w:tcPr>
            <w:tcW w:type="dxa" w:w="2880"/>
          </w:tcPr>
          <w:p>
            <w:r>
              <w:t>PENDING, APPROVED, REJECTED,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GoalStatus</w:t>
            </w:r>
          </w:p>
        </w:tc>
        <w:tc>
          <w:tcPr>
            <w:tcW w:type="dxa" w:w="2880"/>
          </w:tcPr>
          <w:p>
            <w:r>
              <w:t>NOT_STARTED, IN_PROGRESS, COMPLETED, MISSED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ReviewStatus</w:t>
            </w:r>
          </w:p>
        </w:tc>
        <w:tc>
          <w:tcPr>
            <w:tcW w:type="dxa" w:w="2880"/>
          </w:tcPr>
          <w:p>
            <w:r>
              <w:t>DRAFT, SUBMITTED, ACKNOWLEDGED</w:t>
            </w:r>
          </w:p>
        </w:tc>
        <w:tc>
          <w:tcPr>
            <w:tcW w:type="dxa" w:w="2880"/>
          </w:tcPr>
          <w:p>
            <w:r>
              <w:t>SUBMITTED locks content until the employee acknowledges</w:t>
            </w:r>
          </w:p>
        </w:tc>
      </w:tr>
      <w:tr>
        <w:tc>
          <w:tcPr>
            <w:tcW w:type="dxa" w:w="2880"/>
          </w:tcPr>
          <w:p>
            <w:r>
              <w:t>JobPostingStatus</w:t>
            </w:r>
          </w:p>
        </w:tc>
        <w:tc>
          <w:tcPr>
            <w:tcW w:type="dxa" w:w="2880"/>
          </w:tcPr>
          <w:p>
            <w:r>
              <w:t>DRAFT, OPEN, CLOSED, FILLED</w:t>
            </w:r>
          </w:p>
        </w:tc>
        <w:tc>
          <w:tcPr>
            <w:tcW w:type="dxa" w:w="2880"/>
          </w:tcPr>
          <w:p>
            <w:r>
              <w:t>Auto-transitions to FILLED on applicant conversion</w:t>
            </w:r>
          </w:p>
        </w:tc>
      </w:tr>
      <w:tr>
        <w:tc>
          <w:tcPr>
            <w:tcW w:type="dxa" w:w="2880"/>
          </w:tcPr>
          <w:p>
            <w:r>
              <w:t>ApplicantStage</w:t>
            </w:r>
          </w:p>
        </w:tc>
        <w:tc>
          <w:tcPr>
            <w:tcW w:type="dxa" w:w="2880"/>
          </w:tcPr>
          <w:p>
            <w:r>
              <w:t>APPLIED, SCREENING, INTERVIEW, OFFER, HIRED, REJECTED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PayrollPeriodStatus</w:t>
            </w:r>
          </w:p>
        </w:tc>
        <w:tc>
          <w:tcPr>
            <w:tcW w:type="dxa" w:w="2880"/>
          </w:tcPr>
          <w:p>
            <w:r>
              <w:t>DRAFT, COMPUTED, FINALIZED</w:t>
            </w:r>
          </w:p>
        </w:tc>
        <w:tc>
          <w:tcPr>
            <w:tcW w:type="dxa" w:w="2880"/>
          </w:tcPr>
          <w:p>
            <w:r>
              <w:t>FINALIZED locks the period; advance-ledger balances commit here</w:t>
            </w:r>
          </w:p>
        </w:tc>
      </w:tr>
      <w:tr>
        <w:tc>
          <w:tcPr>
            <w:tcW w:type="dxa" w:w="2880"/>
          </w:tcPr>
          <w:p>
            <w:r>
              <w:t>PayrollPeriodType</w:t>
            </w:r>
          </w:p>
        </w:tc>
        <w:tc>
          <w:tcPr>
            <w:tcW w:type="dxa" w:w="2880"/>
          </w:tcPr>
          <w:p>
            <w:r>
              <w:t>REGULAR, THIRTEENTH_MONTH</w:t>
            </w:r>
          </w:p>
        </w:tc>
        <w:tc>
          <w:tcPr>
            <w:tcW w:type="dxa" w:w="2880"/>
          </w:tcPr>
          <w:p>
            <w:r>
              <w:t>Separate proration rule, excludes allowances/overtime/bonus/advance recovery</w:t>
            </w:r>
          </w:p>
        </w:tc>
      </w:tr>
      <w:tr>
        <w:tc>
          <w:tcPr>
            <w:tcW w:type="dxa" w:w="2880"/>
          </w:tcPr>
          <w:p>
            <w:r>
              <w:t>AllowanceType</w:t>
            </w:r>
          </w:p>
        </w:tc>
        <w:tc>
          <w:tcPr>
            <w:tcW w:type="dxa" w:w="2880"/>
          </w:tcPr>
          <w:p>
            <w:r>
              <w:t>HOUSING, TRANSPORT, LUNCH, MEDICAL, HARDSHIP, OTHER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SalaryAdvanceStatus</w:t>
            </w:r>
          </w:p>
        </w:tc>
        <w:tc>
          <w:tcPr>
            <w:tcW w:type="dxa" w:w="2880"/>
          </w:tcPr>
          <w:p>
            <w:r>
              <w:t>ACTIVE, PAID_OFF, CANCELLED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PayrollAdjustmentType</w:t>
            </w:r>
          </w:p>
        </w:tc>
        <w:tc>
          <w:tcPr>
            <w:tcW w:type="dxa" w:w="2880"/>
          </w:tcPr>
          <w:p>
            <w:r>
              <w:t>BONUS, PENALTY, OVERTIME, OTHER_EARNING, OTHER_DEDUCTION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ActivityActorType</w:t>
            </w:r>
          </w:p>
        </w:tc>
        <w:tc>
          <w:tcPr>
            <w:tcW w:type="dxa" w:w="2880"/>
          </w:tcPr>
          <w:p>
            <w:r>
              <w:t>CUSTOMER, STAFF, SYSTEM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AccountType</w:t>
            </w:r>
          </w:p>
        </w:tc>
        <w:tc>
          <w:tcPr>
            <w:tcW w:type="dxa" w:w="2880"/>
          </w:tcPr>
          <w:p>
            <w:r>
              <w:t>ASSET, LIABILITY, EQUITY, REVENUE, EXPENSE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CashFlowCategory</w:t>
            </w:r>
          </w:p>
        </w:tc>
        <w:tc>
          <w:tcPr>
            <w:tcW w:type="dxa" w:w="2880"/>
          </w:tcPr>
          <w:p>
            <w:r>
              <w:t>OPERATING, INVESTING, FINANCING</w:t>
            </w:r>
          </w:p>
        </w:tc>
        <w:tc>
          <w:tcPr>
            <w:tcW w:type="dxa" w:w="2880"/>
          </w:tcPr>
          <w:p>
            <w:r>
              <w:t>Drives the indirect-method cash flow statement</w:t>
            </w:r>
          </w:p>
        </w:tc>
      </w:tr>
      <w:tr>
        <w:tc>
          <w:tcPr>
            <w:tcW w:type="dxa" w:w="2880"/>
          </w:tcPr>
          <w:p>
            <w:r>
              <w:t>FiscalPeriodStatus</w:t>
            </w:r>
          </w:p>
        </w:tc>
        <w:tc>
          <w:tcPr>
            <w:tcW w:type="dxa" w:w="2880"/>
          </w:tcPr>
          <w:p>
            <w:r>
              <w:t>OPEN, CLOSED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JournalEntryStatus</w:t>
            </w:r>
          </w:p>
        </w:tc>
        <w:tc>
          <w:tcPr>
            <w:tcW w:type="dxa" w:w="2880"/>
          </w:tcPr>
          <w:p>
            <w:r>
              <w:t>DRAFT, POSTED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VendorStatus</w:t>
            </w:r>
          </w:p>
        </w:tc>
        <w:tc>
          <w:tcPr>
            <w:tcW w:type="dxa" w:w="2880"/>
          </w:tcPr>
          <w:p>
            <w:r>
              <w:t>ACTIVE, SUSPENDED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VendorPayoutStatus</w:t>
            </w:r>
          </w:p>
        </w:tc>
        <w:tc>
          <w:tcPr>
            <w:tcW w:type="dxa" w:w="2880"/>
          </w:tcPr>
          <w:p>
            <w:r>
              <w:t>PENDING, PAID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PaymentProvider</w:t>
            </w:r>
          </w:p>
        </w:tc>
        <w:tc>
          <w:tcPr>
            <w:tcW w:type="dxa" w:w="2880"/>
          </w:tcPr>
          <w:p>
            <w:r>
              <w:t>FLUTTERWAVE</w:t>
            </w:r>
          </w:p>
        </w:tc>
        <w:tc>
          <w:tcPr>
            <w:tcW w:type="dxa" w:w="2880"/>
          </w:tcPr>
          <w:p>
            <w:r>
              <w:t>Only integrated gateway</w:t>
            </w:r>
          </w:p>
        </w:tc>
      </w:tr>
      <w:tr>
        <w:tc>
          <w:tcPr>
            <w:tcW w:type="dxa" w:w="2880"/>
          </w:tcPr>
          <w:p>
            <w:r>
              <w:t>PaymentTransactionStatus</w:t>
            </w:r>
          </w:p>
        </w:tc>
        <w:tc>
          <w:tcPr>
            <w:tcW w:type="dxa" w:w="2880"/>
          </w:tcPr>
          <w:p>
            <w:r>
              <w:t>PENDING, SUCCESSFUL, FAILED, REFUNDED, CHARGEBACK</w:t>
            </w:r>
          </w:p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3-database-design.docx" TargetMode="External"/><Relationship Id="rId10" Type="http://schemas.openxmlformats.org/officeDocument/2006/relationships/hyperlink" Target="./22-entity-relationship-diagram.docx" TargetMode="External"/><Relationship Id="rId11" Type="http://schemas.openxmlformats.org/officeDocument/2006/relationships/hyperlink" Target="./21-data-flow-diagram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23. Data Dictionary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