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03. Database Design — PostgreSQL</w:t>
      </w:r>
    </w:p>
    <w:p>
      <w:r>
        <w:t xml:space="preserve">Adapts template §9. Source of truth for the actual schema is always </w:t>
      </w:r>
      <w:r>
        <w:rPr>
          <w:rFonts w:ascii="Consolas" w:hAnsi="Consolas"/>
          <w:sz w:val="20"/>
        </w:rPr>
        <w:t>apps/api/prisma/schema.prisma</w:t>
      </w:r>
      <w:r>
        <w:t xml:space="preserve"> — this document explains conventions and current state, it does not duplicate field-by-field detail (see </w:t>
      </w:r>
      <w:r>
        <w:rPr>
          <w:rFonts w:ascii="Consolas" w:hAnsi="Consolas"/>
          <w:sz w:val="20"/>
        </w:rPr>
        <w:t>docs/SRS.md</w:t>
      </w:r>
      <w:r>
        <w:t xml:space="preserve"> §9 for the data-model narrative tied to FR-IDs, and </w:t>
      </w:r>
      <w:hyperlink r:id="rId9">
        <w:r>
          <w:rPr>
            <w:color w:val="0563C1"/>
            <w:u w:val="single"/>
          </w:rPr>
          <w:t xml:space="preserve">`22-entity-relationship-diagram.md`</w:t>
        </w:r>
      </w:hyperlink>
      <w:r>
        <w:t xml:space="preserve">/ </w:t>
      </w:r>
      <w:hyperlink r:id="rId10">
        <w:r>
          <w:rPr>
            <w:color w:val="0563C1"/>
            <w:u w:val="single"/>
          </w:rPr>
          <w:t xml:space="preserve">`23-data-dictionary.md`</w:t>
        </w:r>
      </w:hyperlink>
      <w:r>
        <w:t xml:space="preserve"> for the full relationship table and field-by-field reference this document deliberately doesn't grow to contain).</w:t>
      </w:r>
    </w:p>
    <w:p>
      <w:pPr>
        <w:pStyle w:val="Heading2"/>
      </w:pPr>
      <w:r>
        <w:t>Engine and access</w:t>
      </w:r>
    </w:p>
    <w:p>
      <w:pPr>
        <w:pStyle w:val="ListBullet"/>
      </w:pPr>
      <w:r>
        <w:rPr>
          <w:b/>
        </w:rPr>
        <w:t>Engine</w:t>
      </w:r>
      <w:r>
        <w:t>: PostgreSQL 16 (</w:t>
      </w:r>
      <w:r>
        <w:rPr>
          <w:rFonts w:ascii="Consolas" w:hAnsi="Consolas"/>
          <w:sz w:val="20"/>
        </w:rPr>
        <w:t>postgres:16-alpine</w:t>
      </w:r>
      <w:r>
        <w:t xml:space="preserve">), run locally via </w:t>
      </w:r>
      <w:r>
        <w:rPr>
          <w:rFonts w:ascii="Consolas" w:hAnsi="Consolas"/>
          <w:sz w:val="20"/>
        </w:rPr>
        <w:t>docker-compose.yml</w:t>
      </w:r>
      <w:r>
        <w:t xml:space="preserve">, host port </w:t>
      </w:r>
      <w:r>
        <w:rPr>
          <w:b/>
        </w:rPr>
        <w:t>5440</w:t>
      </w:r>
      <w:r>
        <w:t xml:space="preserve"> (not the default 5432 — this dev machine runs other projects' Postgres on the standard port).</w:t>
      </w:r>
    </w:p>
    <w:p>
      <w:pPr>
        <w:pStyle w:val="ListBullet"/>
      </w:pPr>
      <w:r>
        <w:rPr>
          <w:b/>
        </w:rPr>
        <w:t>Access</w:t>
      </w:r>
      <w:r>
        <w:t xml:space="preserve">: through Prisma Client only. </w:t>
      </w:r>
      <w:r>
        <w:rPr>
          <w:rFonts w:ascii="Consolas" w:hAnsi="Consolas"/>
          <w:sz w:val="20"/>
        </w:rPr>
        <w:t>apps/api/prisma.config.ts</w:t>
      </w:r>
      <w:r>
        <w:t xml:space="preserve"> configures the Prisma CLI (schema path, seed command) — Prisma 6+'s replacement for the deprecated </w:t>
      </w:r>
      <w:r>
        <w:rPr>
          <w:rFonts w:ascii="Consolas" w:hAnsi="Consolas"/>
          <w:sz w:val="20"/>
        </w:rPr>
        <w:t>package.json#prisma</w:t>
      </w:r>
      <w:r>
        <w:t xml:space="preserve"> field — and explicitly calls </w:t>
      </w:r>
      <w:r>
        <w:rPr>
          <w:rFonts w:ascii="Consolas" w:hAnsi="Consolas"/>
          <w:sz w:val="20"/>
        </w:rPr>
        <w:t>process.loadEnvFile()</w:t>
      </w:r>
      <w:r>
        <w:t xml:space="preserve"> since config-file mode disables Prisma's old auto-dotenv behavior for CLI commands.</w:t>
      </w:r>
    </w:p>
    <w:p>
      <w:pPr>
        <w:pStyle w:val="ListBullet"/>
      </w:pPr>
      <w:r>
        <w:rPr>
          <w:b/>
        </w:rPr>
        <w:t>Role model</w:t>
      </w:r>
      <w:r>
        <w:t xml:space="preserve">: the local dev container uses a single </w:t>
      </w:r>
      <w:r>
        <w:rPr>
          <w:rFonts w:ascii="Consolas" w:hAnsi="Consolas"/>
          <w:sz w:val="20"/>
        </w:rPr>
        <w:t>chrispa</w:t>
      </w:r>
      <w:r>
        <w:t xml:space="preserve"> role for both the application and migrations (</w:t>
      </w:r>
      <w:r>
        <w:rPr>
          <w:rFonts w:ascii="Consolas" w:hAnsi="Consolas"/>
          <w:sz w:val="20"/>
        </w:rPr>
        <w:t>docker-compose.yml</w:t>
      </w:r>
      <w:r>
        <w:t xml:space="preserve"> / </w:t>
      </w:r>
      <w:r>
        <w:rPr>
          <w:rFonts w:ascii="Consolas" w:hAnsi="Consolas"/>
          <w:sz w:val="20"/>
        </w:rPr>
        <w:t>.env.example</w:t>
      </w:r>
      <w:r>
        <w:t xml:space="preserve">). The template's recommendation ("create separate database roles for applications rather than using a superuser") is </w:t>
      </w:r>
      <w:r>
        <w:rPr>
          <w:b/>
        </w:rPr>
        <w:t>not applied today</w:t>
      </w:r>
      <w:r>
        <w:t xml:space="preserve"> because there is only one environment and one consumer of the database — revisit before a shared/staging database exists (a migration-runner role vs. an application role with least-privilege grants).</w:t>
      </w:r>
    </w:p>
    <w:p>
      <w:pPr>
        <w:pStyle w:val="Heading2"/>
      </w:pPr>
      <w:r>
        <w:t xml:space="preserve">Conventions (from </w:t>
      </w:r>
      <w:r>
        <w:rPr>
          <w:rFonts w:ascii="Consolas" w:hAnsi="Consolas"/>
          <w:sz w:val="20"/>
        </w:rPr>
        <w:t>CLAUDE.md</w:t>
      </w:r>
      <w:r>
        <w:t xml:space="preserve">, enforced throughout </w:t>
      </w:r>
      <w:r>
        <w:rPr>
          <w:rFonts w:ascii="Consolas" w:hAnsi="Consolas"/>
          <w:sz w:val="20"/>
        </w:rPr>
        <w:t>schema.prisma</w:t>
      </w:r>
      <w:r>
        <w:t>)</w:t>
      </w:r>
    </w:p>
    <w:p>
      <w:pPr>
        <w:pStyle w:val="ListBullet"/>
      </w:pPr>
      <w:r>
        <w:t>UUID primary keys on every model.</w:t>
      </w:r>
    </w:p>
    <w:p>
      <w:pPr>
        <w:pStyle w:val="ListBullet"/>
      </w:pPr>
      <w:r>
        <w:rPr>
          <w:rFonts w:ascii="Consolas" w:hAnsi="Consolas"/>
          <w:sz w:val="20"/>
        </w:rPr>
        <w:t>@db.Timestamptz(3)</w:t>
      </w:r>
      <w:r>
        <w:t xml:space="preserve"> on every </w:t>
      </w:r>
      <w:r>
        <w:rPr>
          <w:rFonts w:ascii="Consolas" w:hAnsi="Consolas"/>
          <w:sz w:val="20"/>
        </w:rPr>
        <w:t>DateTime</w:t>
      </w:r>
      <w:r>
        <w:t xml:space="preserve"> column — Prisma defaults to timezone-naive </w:t>
      </w:r>
      <w:r>
        <w:rPr>
          <w:rFonts w:ascii="Consolas" w:hAnsi="Consolas"/>
          <w:sz w:val="20"/>
        </w:rPr>
        <w:t>timestamp</w:t>
      </w:r>
      <w:r>
        <w:t xml:space="preserve"> on Postgres, which this schema deliberately avoids.</w:t>
      </w:r>
    </w:p>
    <w:p>
      <w:pPr>
        <w:pStyle w:val="ListBullet"/>
      </w:pPr>
      <w:r>
        <w:t xml:space="preserve">Explicit </w:t>
      </w:r>
      <w:r>
        <w:rPr>
          <w:rFonts w:ascii="Consolas" w:hAnsi="Consolas"/>
          <w:sz w:val="20"/>
        </w:rPr>
        <w:t>@@index</w:t>
      </w:r>
      <w:r>
        <w:t xml:space="preserve"> on every foreign key not already covered by a </w:t>
      </w:r>
      <w:r>
        <w:rPr>
          <w:rFonts w:ascii="Consolas" w:hAnsi="Consolas"/>
          <w:sz w:val="20"/>
        </w:rPr>
        <w:t>@unique</w:t>
      </w:r>
      <w:r>
        <w:t>/</w:t>
      </w:r>
      <w:r>
        <w:rPr>
          <w:rFonts w:ascii="Consolas" w:hAnsi="Consolas"/>
          <w:sz w:val="20"/>
        </w:rPr>
        <w:t>@@unique</w:t>
      </w:r>
      <w:r>
        <w:t xml:space="preserve"> — Prisma does </w:t>
      </w:r>
      <w:r>
        <w:rPr>
          <w:b/>
        </w:rPr>
        <w:t>not</w:t>
      </w:r>
      <w:r>
        <w:t xml:space="preserve"> add these automatically on the </w:t>
      </w:r>
      <w:r>
        <w:rPr>
          <w:rFonts w:ascii="Consolas" w:hAnsi="Consolas"/>
          <w:sz w:val="20"/>
        </w:rPr>
        <w:t>postgresql</w:t>
      </w:r>
      <w:r>
        <w:t xml:space="preserve"> provider, so they're written by hand.</w:t>
      </w:r>
    </w:p>
    <w:p>
      <w:pPr>
        <w:pStyle w:val="ListBullet"/>
      </w:pPr>
      <w:r>
        <w:rPr>
          <w:rFonts w:ascii="Consolas" w:hAnsi="Consolas"/>
          <w:sz w:val="20"/>
        </w:rPr>
        <w:t>Product.stockQty</w:t>
      </w:r>
      <w:r>
        <w:t xml:space="preserve"> / </w:t>
      </w:r>
      <w:r>
        <w:rPr>
          <w:rFonts w:ascii="Consolas" w:hAnsi="Consolas"/>
          <w:sz w:val="20"/>
        </w:rPr>
        <w:t>Variant.stockQty</w:t>
      </w:r>
      <w:r>
        <w:t xml:space="preserve"> are </w:t>
      </w:r>
      <w:r>
        <w:rPr>
          <w:b/>
        </w:rPr>
        <w:t>denormalized read caches, not the source of truth</w:t>
      </w:r>
      <w:r>
        <w:t xml:space="preserve"> — </w:t>
      </w:r>
      <w:r>
        <w:rPr>
          <w:rFonts w:ascii="Consolas" w:hAnsi="Consolas"/>
          <w:sz w:val="20"/>
        </w:rPr>
        <w:t>InventoryRecord</w:t>
      </w:r>
      <w:r>
        <w:t xml:space="preserve"> (per product × warehouse) is authoritative. Nothing keeps the cached columns in sync yet (see the comment on </w:t>
      </w:r>
      <w:r>
        <w:rPr>
          <w:rFonts w:ascii="Consolas" w:hAnsi="Consolas"/>
          <w:sz w:val="20"/>
        </w:rPr>
        <w:t>Product.stockQty</w:t>
      </w:r>
      <w:r>
        <w:t xml:space="preserve"> in the schema) — do not add logic that trusts them for a stock decision.</w:t>
      </w:r>
    </w:p>
    <w:p>
      <w:pPr>
        <w:pStyle w:val="Heading2"/>
      </w:pPr>
      <w:r>
        <w:t>Migrations</w:t>
      </w:r>
    </w:p>
    <w:p>
      <w:pPr>
        <w:pStyle w:val="ListBullet"/>
      </w:pPr>
      <w:r>
        <w:t xml:space="preserve">Managed through Prisma Migrate: </w:t>
      </w:r>
      <w:r>
        <w:rPr>
          <w:rFonts w:ascii="Consolas" w:hAnsi="Consolas"/>
          <w:sz w:val="20"/>
        </w:rPr>
        <w:t>npm run prisma:migrate</w:t>
      </w:r>
      <w:r>
        <w:t xml:space="preserve"> (wraps </w:t>
      </w:r>
      <w:r>
        <w:rPr>
          <w:rFonts w:ascii="Consolas" w:hAnsi="Consolas"/>
          <w:sz w:val="20"/>
        </w:rPr>
        <w:t>prisma migrate dev</w:t>
      </w:r>
      <w:r>
        <w:t>) applies pending migrations and generates a new one from any schema diff.</w:t>
      </w:r>
    </w:p>
    <w:p>
      <w:pPr>
        <w:pStyle w:val="ListBullet"/>
      </w:pPr>
      <w:r>
        <w:t xml:space="preserve">Migration history lives in </w:t>
      </w:r>
      <w:r>
        <w:rPr>
          <w:rFonts w:ascii="Consolas" w:hAnsi="Consolas"/>
          <w:sz w:val="20"/>
        </w:rPr>
        <w:t>apps/api/prisma/migrations/</w:t>
      </w:r>
      <w:r>
        <w:t xml:space="preserve"> and is committed to git — this </w:t>
      </w:r>
      <w:r>
        <w:rPr>
          <w:b/>
        </w:rPr>
        <w:t>is</w:t>
      </w:r>
      <w:r>
        <w:t xml:space="preserve"> the template's "use migrations for schema changes" requirement, already satisfied.</w:t>
      </w:r>
    </w:p>
    <w:p>
      <w:pPr>
        <w:pStyle w:val="ListBullet"/>
      </w:pPr>
      <w:r>
        <w:t xml:space="preserve">There is no separate staging/production migration step yet (no such environments exist) — today, </w:t>
      </w:r>
      <w:r>
        <w:rPr>
          <w:rFonts w:ascii="Consolas" w:hAnsi="Consolas"/>
          <w:sz w:val="20"/>
        </w:rPr>
        <w:t>migrate dev</w:t>
      </w:r>
      <w:r>
        <w:t xml:space="preserve"> against the local database is the only migration path exercised.</w:t>
      </w:r>
    </w:p>
    <w:p>
      <w:pPr>
        <w:pStyle w:val="Heading2"/>
      </w:pPr>
      <w:r>
        <w:t>Seed data</w:t>
      </w:r>
    </w:p>
    <w:p>
      <w:r>
        <w:rPr>
          <w:rFonts w:ascii="Consolas" w:hAnsi="Consolas"/>
          <w:sz w:val="20"/>
        </w:rPr>
        <w:t>apps/api/prisma/seed.ts</w:t>
      </w:r>
      <w:r>
        <w:t xml:space="preserve"> is idempotent (built on </w:t>
      </w:r>
      <w:r>
        <w:rPr>
          <w:rFonts w:ascii="Consolas" w:hAnsi="Consolas"/>
          <w:sz w:val="20"/>
        </w:rPr>
        <w:t>upsert</w:t>
      </w:r>
      <w:r>
        <w:t xml:space="preserve">) and populates the real ChrisPa catalog/demo data: 5 product lines, 25 SKUs (24 </w:t>
      </w:r>
      <w:r>
        <w:rPr>
          <w:rFonts w:ascii="Consolas" w:hAnsi="Consolas"/>
          <w:sz w:val="20"/>
        </w:rPr>
        <w:t>ACTIVE</w:t>
      </w:r>
      <w:r>
        <w:t xml:space="preserve"> + 1 </w:t>
      </w:r>
      <w:r>
        <w:rPr>
          <w:rFonts w:ascii="Consolas" w:hAnsi="Consolas"/>
          <w:sz w:val="20"/>
        </w:rPr>
        <w:t>DRAFT</w:t>
      </w:r>
      <w:r>
        <w:t xml:space="preserve">), 6 wellness tags, 2 warehouses with inventory records (including the exact low-stock numbers from the Admin Inventory wireframe), 3 coupons, 1 bundle, 4 social media accounts (Instagram/Facebook/TikTok/WhatsApp, clearly-placeholder handles — replace via Admin → CMS once ChrisPa's real ones are known), 5 staff users with matching </w:t>
      </w:r>
      <w:r>
        <w:rPr>
          <w:rFonts w:ascii="Consolas" w:hAnsi="Consolas"/>
          <w:sz w:val="20"/>
        </w:rPr>
        <w:t>Employee</w:t>
      </w:r>
      <w:r>
        <w:t xml:space="preserve"> records (</w:t>
      </w:r>
      <w:r>
        <w:rPr>
          <w:rFonts w:ascii="Consolas" w:hAnsi="Consolas"/>
          <w:sz w:val="20"/>
        </w:rPr>
        <w:t>chris@chrispa.ug</w:t>
      </w:r>
      <w:r>
        <w:t xml:space="preserve"> / </w:t>
      </w:r>
      <w:r>
        <w:rPr>
          <w:rFonts w:ascii="Consolas" w:hAnsi="Consolas"/>
          <w:sz w:val="20"/>
        </w:rPr>
        <w:t>patricia@chrispa.ug</w:t>
      </w:r>
      <w:r>
        <w:t xml:space="preserve"> / </w:t>
      </w:r>
      <w:r>
        <w:rPr>
          <w:rFonts w:ascii="Consolas" w:hAnsi="Consolas"/>
          <w:sz w:val="20"/>
        </w:rPr>
        <w:t>dennis@chrispa.ug</w:t>
      </w:r>
      <w:r>
        <w:t xml:space="preserve"> / </w:t>
      </w:r>
      <w:r>
        <w:rPr>
          <w:rFonts w:ascii="Consolas" w:hAnsi="Consolas"/>
          <w:sz w:val="20"/>
        </w:rPr>
        <w:t>grace@chrispa.ug</w:t>
      </w:r>
      <w:r>
        <w:t xml:space="preserve"> / </w:t>
      </w:r>
      <w:r>
        <w:rPr>
          <w:rFonts w:ascii="Consolas" w:hAnsi="Consolas"/>
          <w:sz w:val="20"/>
        </w:rPr>
        <w:t>brenda@chrispa.ug</w:t>
      </w:r>
      <w:r>
        <w:t xml:space="preserve">, password </w:t>
      </w:r>
      <w:r>
        <w:rPr>
          <w:rFonts w:ascii="Consolas" w:hAnsi="Consolas"/>
          <w:sz w:val="20"/>
        </w:rPr>
        <w:t>ChrisPa2026!</w:t>
      </w:r>
      <w:r>
        <w:t xml:space="preserve">), a 6th </w:t>
      </w:r>
      <w:r>
        <w:rPr>
          <w:rFonts w:ascii="Consolas" w:hAnsi="Consolas"/>
          <w:sz w:val="20"/>
        </w:rPr>
        <w:t>Employee</w:t>
      </w:r>
      <w:r>
        <w:t xml:space="preserve"> with no linked login, 4 departments, one approved leave request, one completed clock-in/out cycle, one shift, and a sample Gold-tier customer (</w:t>
      </w:r>
      <w:r>
        <w:rPr>
          <w:rFonts w:ascii="Consolas" w:hAnsi="Consolas"/>
          <w:sz w:val="20"/>
        </w:rPr>
        <w:t>sarah@example.com</w:t>
      </w:r>
      <w:r>
        <w:t>) with order history and a loyalty ledger.</w:t>
      </w:r>
    </w:p>
    <w:p>
      <w:r>
        <w:t xml:space="preserve">Because </w:t>
      </w:r>
      <w:r>
        <w:rPr>
          <w:rFonts w:ascii="Consolas" w:hAnsi="Consolas"/>
          <w:sz w:val="20"/>
        </w:rPr>
        <w:t>upsert</w:t>
      </w:r>
      <w:r>
        <w:t xml:space="preserve">'s </w:t>
      </w:r>
      <w:r>
        <w:rPr>
          <w:rFonts w:ascii="Consolas" w:hAnsi="Consolas"/>
          <w:sz w:val="20"/>
        </w:rPr>
        <w:t>update: {}</w:t>
      </w:r>
      <w:r>
        <w:t xml:space="preserve"> branches don't overwrite rows that already diverge (e.g. a hand-registered test user), a clean slate requires </w:t>
      </w:r>
      <w:r>
        <w:rPr>
          <w:rFonts w:ascii="Consolas" w:hAnsi="Consolas"/>
          <w:sz w:val="20"/>
        </w:rPr>
        <w:t>cd apps/api &amp;&amp; npx prisma migrate reset</w:t>
      </w:r>
      <w:r>
        <w:t xml:space="preserve"> — </w:t>
      </w:r>
      <w:r>
        <w:rPr>
          <w:b/>
        </w:rPr>
        <w:t>destructive</w:t>
      </w:r>
      <w:r>
        <w:t>, requires the user's explicit freshly-given consent, and Prisma's own CLI enforces this (</w:t>
      </w:r>
      <w:r>
        <w:rPr>
          <w:rFonts w:ascii="Consolas" w:hAnsi="Consolas"/>
          <w:sz w:val="20"/>
        </w:rPr>
        <w:t>PRISMA_USER_CONSENT_FOR_DANGEROUS_AI_ACTION</w:t>
      </w:r>
      <w:r>
        <w:t>). Never assume consent carries over from earlier in a conversation.</w:t>
      </w:r>
    </w:p>
    <w:p>
      <w:r>
        <w:rPr>
          <w:b/>
        </w:rPr>
        <w:t>Known seed-data gap — 2FA-locked demo accounts</w:t>
      </w:r>
      <w:r>
        <w:t xml:space="preserve">: </w:t>
      </w:r>
      <w:r>
        <w:rPr>
          <w:rFonts w:ascii="Consolas" w:hAnsi="Consolas"/>
          <w:sz w:val="20"/>
        </w:rPr>
        <w:t>seed.ts</w:t>
      </w:r>
      <w:r>
        <w:t xml:space="preserve"> sets </w:t>
      </w:r>
      <w:r>
        <w:rPr>
          <w:rFonts w:ascii="Consolas" w:hAnsi="Consolas"/>
          <w:sz w:val="20"/>
        </w:rPr>
        <w:t>twoFactorEnabled: true</w:t>
      </w:r>
      <w:r>
        <w:t xml:space="preserve"> for </w:t>
      </w:r>
      <w:r>
        <w:rPr>
          <w:rFonts w:ascii="Consolas" w:hAnsi="Consolas"/>
          <w:sz w:val="20"/>
        </w:rPr>
        <w:t>chris@chrispa.ug</w:t>
      </w:r>
      <w:r>
        <w:t xml:space="preserve">, </w:t>
      </w:r>
      <w:r>
        <w:rPr>
          <w:rFonts w:ascii="Consolas" w:hAnsi="Consolas"/>
          <w:sz w:val="20"/>
        </w:rPr>
        <w:t>patricia@chrispa.ug</w:t>
      </w:r>
      <w:r>
        <w:t xml:space="preserve">, and </w:t>
      </w:r>
      <w:r>
        <w:rPr>
          <w:rFonts w:ascii="Consolas" w:hAnsi="Consolas"/>
          <w:sz w:val="20"/>
        </w:rPr>
        <w:t>grace@chrispa.ug</w:t>
      </w:r>
      <w:r>
        <w:t xml:space="preserve"> but never seeds a matching </w:t>
      </w:r>
      <w:r>
        <w:rPr>
          <w:rFonts w:ascii="Consolas" w:hAnsi="Consolas"/>
          <w:sz w:val="20"/>
        </w:rPr>
        <w:t>twoFactorSecret</w:t>
      </w:r>
      <w:r>
        <w:t xml:space="preserve">, which — per </w:t>
      </w:r>
      <w:hyperlink r:id="rId11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 — permanently locks those three accounts out of login with no self-service or admin-side recovery path. A </w:t>
      </w:r>
      <w:r>
        <w:rPr>
          <w:b/>
        </w:rPr>
        <w:t>fresh</w:t>
      </w:r>
      <w:r>
        <w:t xml:space="preserve"> seed (e.g. after </w:t>
      </w:r>
      <w:r>
        <w:rPr>
          <w:rFonts w:ascii="Consolas" w:hAnsi="Consolas"/>
          <w:sz w:val="20"/>
        </w:rPr>
        <w:t>prisma migrate reset &amp;&amp; npm run db:seed</w:t>
      </w:r>
      <w:r>
        <w:t xml:space="preserve">) reproduces this lockout on any machine, local or production; it's not a production-specific issue, it's just easy to miss locally if an already-diverged </w:t>
      </w:r>
      <w:r>
        <w:rPr>
          <w:rFonts w:ascii="Consolas" w:hAnsi="Consolas"/>
          <w:sz w:val="20"/>
        </w:rPr>
        <w:t>chris</w:t>
      </w:r>
      <w:r>
        <w:t xml:space="preserve"> row from before the </w:t>
      </w:r>
      <w:r>
        <w:rPr>
          <w:rFonts w:ascii="Consolas" w:hAnsi="Consolas"/>
          <w:sz w:val="20"/>
        </w:rPr>
        <w:t>twoFactorEnabled: true</w:t>
      </w:r>
      <w:r>
        <w:t xml:space="preserve"> change happens to already exist (</w:t>
      </w:r>
      <w:r>
        <w:rPr>
          <w:rFonts w:ascii="Consolas" w:hAnsi="Consolas"/>
          <w:sz w:val="20"/>
        </w:rPr>
        <w:t>upsert</w:t>
      </w:r>
      <w:r>
        <w:t xml:space="preserve"> won't touch it). The production database's three accounts were unlocked via a one-off bootstrap script — see that section for the pattern — but </w:t>
      </w:r>
      <w:r>
        <w:rPr>
          <w:rFonts w:ascii="Consolas" w:hAnsi="Consolas"/>
          <w:sz w:val="20"/>
        </w:rPr>
        <w:t>seed.ts</w:t>
      </w:r>
      <w:r>
        <w:t xml:space="preserve"> itself still produces this locked state as-is; fixing it at the source (seeding a real secret, or defaulting these three to </w:t>
      </w:r>
      <w:r>
        <w:rPr>
          <w:rFonts w:ascii="Consolas" w:hAnsi="Consolas"/>
          <w:sz w:val="20"/>
        </w:rPr>
        <w:t>twoFactorEnabled: false</w:t>
      </w:r>
      <w:r>
        <w:t xml:space="preserve"> like </w:t>
      </w:r>
      <w:r>
        <w:rPr>
          <w:rFonts w:ascii="Consolas" w:hAnsi="Consolas"/>
          <w:sz w:val="20"/>
        </w:rPr>
        <w:t>dennis</w:t>
      </w:r>
      <w:r>
        <w:t>/</w:t>
      </w:r>
      <w:r>
        <w:rPr>
          <w:rFonts w:ascii="Consolas" w:hAnsi="Consolas"/>
          <w:sz w:val="20"/>
        </w:rPr>
        <w:t>brenda</w:t>
      </w:r>
      <w:r>
        <w:t>) has not been done.</w:t>
      </w:r>
    </w:p>
    <w:p>
      <w:r>
        <w:rPr>
          <w:rFonts w:ascii="Consolas" w:hAnsi="Consolas"/>
          <w:b/>
          <w:sz w:val="20"/>
        </w:rPr>
        <w:t>User.suspendedAt</w:t>
      </w:r>
      <w:r>
        <w:rPr>
          <w:b/>
        </w:rPr>
        <w:t>/</w:t>
      </w:r>
      <w:r>
        <w:rPr>
          <w:rFonts w:ascii="Consolas" w:hAnsi="Consolas"/>
          <w:b/>
          <w:sz w:val="20"/>
        </w:rPr>
        <w:t>suspensionReason</w:t>
      </w:r>
      <w:r>
        <w:t xml:space="preserve"> (added this session, commit </w:t>
      </w:r>
      <w:r>
        <w:rPr>
          <w:rFonts w:ascii="Consolas" w:hAnsi="Consolas"/>
          <w:sz w:val="20"/>
        </w:rPr>
        <w:t>3b5fc6a</w:t>
      </w:r>
      <w:r>
        <w:t xml:space="preserve">): a reversible, admin-triggered account hold, distinct from the existing terminal </w:t>
      </w:r>
      <w:r>
        <w:rPr>
          <w:rFonts w:ascii="Consolas" w:hAnsi="Consolas"/>
          <w:sz w:val="20"/>
        </w:rPr>
        <w:t>deletedAt</w:t>
      </w:r>
      <w:r>
        <w:t xml:space="preserve"> — see </w:t>
      </w:r>
      <w:hyperlink r:id="rId11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 for the full feature and </w:t>
      </w:r>
      <w:hyperlink r:id="rId9">
        <w:r>
          <w:rPr>
            <w:color w:val="0563C1"/>
            <w:u w:val="single"/>
          </w:rPr>
          <w:t xml:space="preserve">`22-entity-relationship-diagram.md`</w:t>
        </w:r>
      </w:hyperlink>
      <w:r>
        <w:t xml:space="preserve"> for exactly how it and </w:t>
      </w:r>
      <w:r>
        <w:rPr>
          <w:rFonts w:ascii="Consolas" w:hAnsi="Consolas"/>
          <w:sz w:val="20"/>
        </w:rPr>
        <w:t>deletedAt</w:t>
      </w:r>
      <w:r>
        <w:t xml:space="preserve"> interact with </w:t>
      </w:r>
      <w:r>
        <w:rPr>
          <w:rFonts w:ascii="Consolas" w:hAnsi="Consolas"/>
          <w:sz w:val="20"/>
        </w:rPr>
        <w:t>AuthService.completeLogin()</w:t>
      </w:r>
      <w:r>
        <w:t>/</w:t>
      </w:r>
      <w:r>
        <w:rPr>
          <w:rFonts w:ascii="Consolas" w:hAnsi="Consolas"/>
          <w:sz w:val="20"/>
        </w:rPr>
        <w:t>refresh()</w:t>
      </w:r>
      <w:r>
        <w:t>.</w:t>
      </w:r>
    </w:p>
    <w:p>
      <w:r>
        <w:rPr>
          <w:rFonts w:ascii="Consolas" w:hAnsi="Consolas"/>
          <w:b/>
          <w:sz w:val="20"/>
        </w:rPr>
        <w:t>UserRole.DRIVER</w:t>
      </w:r>
      <w:r>
        <w:t xml:space="preserve"> (added this session, commit </w:t>
      </w:r>
      <w:r>
        <w:rPr>
          <w:rFonts w:ascii="Consolas" w:hAnsi="Consolas"/>
          <w:sz w:val="20"/>
        </w:rPr>
        <w:t>75b7cff</w:t>
      </w:r>
      <w:r>
        <w:t xml:space="preserve"> — Driver App, per user request, not in the original SRS): a staff login like any other (created via the same HR employee-login flow, now including </w:t>
      </w:r>
      <w:r>
        <w:rPr>
          <w:rFonts w:ascii="Consolas" w:hAnsi="Consolas"/>
          <w:sz w:val="20"/>
        </w:rPr>
        <w:t>DRIVER</w:t>
      </w:r>
      <w:r>
        <w:t xml:space="preserve"> in </w:t>
      </w:r>
      <w:r>
        <w:rPr>
          <w:rFonts w:ascii="Consolas" w:hAnsi="Consolas"/>
          <w:sz w:val="20"/>
        </w:rPr>
        <w:t>STAFF_ROLES</w:t>
      </w:r>
      <w:r>
        <w:t xml:space="preserve">), scoped to their own assigned </w:t>
      </w:r>
      <w:r>
        <w:rPr>
          <w:rFonts w:ascii="Consolas" w:hAnsi="Consolas"/>
          <w:sz w:val="20"/>
        </w:rPr>
        <w:t>Delivery</w:t>
      </w:r>
      <w:r>
        <w:t xml:space="preserve"> rows only. See </w:t>
      </w:r>
      <w:hyperlink r:id="rId11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 for the RBAC boundary and </w:t>
      </w:r>
      <w:hyperlink r:id="rId12">
        <w:r>
          <w:rPr>
            <w:color w:val="0563C1"/>
            <w:u w:val="single"/>
          </w:rPr>
          <w:t xml:space="preserve">`16-user-and-administrator-procedures.md`</w:t>
        </w:r>
      </w:hyperlink>
      <w:r>
        <w:t xml:space="preserve"> for how an admin assigns a driver and how a driver works a delivery.</w:t>
      </w:r>
    </w:p>
    <w:p>
      <w:pPr>
        <w:pStyle w:val="Heading2"/>
      </w:pPr>
      <w:r>
        <w:t xml:space="preserve">Schema inventory (grouped by domain, from </w:t>
      </w:r>
      <w:r>
        <w:rPr>
          <w:rFonts w:ascii="Consolas" w:hAnsi="Consolas"/>
          <w:sz w:val="20"/>
        </w:rPr>
        <w:t>schema.prisma</w:t>
      </w:r>
      <w:r>
        <w:t>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Models</w:t>
            </w:r>
          </w:p>
        </w:tc>
      </w:tr>
      <w:tr>
        <w:tc>
          <w:tcPr>
            <w:tcW w:type="dxa" w:w="4320"/>
          </w:tcPr>
          <w:p>
            <w:r>
              <w:t>Identity &amp; auth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RefreshToken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WebAuthnCredential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LoginEvent</w:t>
            </w:r>
          </w:p>
        </w:tc>
      </w:tr>
      <w:tr>
        <w:tc>
          <w:tcPr>
            <w:tcW w:type="dxa" w:w="4320"/>
          </w:tcPr>
          <w:p>
            <w:r>
              <w:t>Customer account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Address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PaymentMethod</w:t>
            </w:r>
          </w:p>
        </w:tc>
      </w:tr>
      <w:tr>
        <w:tc>
          <w:tcPr>
            <w:tcW w:type="dxa" w:w="4320"/>
          </w:tcPr>
          <w:p>
            <w:r>
              <w:t>Catalog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ProductLine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WellnessTag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Product</w:t>
            </w:r>
            <w:r>
              <w:t xml:space="preserve"> (now with optional </w:t>
            </w:r>
            <w:r>
              <w:rPr>
                <w:rFonts w:ascii="Consolas" w:hAnsi="Consolas"/>
                <w:sz w:val="20"/>
              </w:rPr>
              <w:t>vendorId</w:t>
            </w:r>
            <w:r>
              <w:t>/</w:t>
            </w:r>
            <w:r>
              <w:rPr>
                <w:rFonts w:ascii="Consolas" w:hAnsi="Consolas"/>
                <w:sz w:val="20"/>
              </w:rPr>
              <w:t>costUgx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ProductWellnessTag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ProductMedia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Variant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Warehouse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InventoryRecord</w:t>
            </w:r>
          </w:p>
        </w:tc>
      </w:tr>
      <w:tr>
        <w:tc>
          <w:tcPr>
            <w:tcW w:type="dxa" w:w="4320"/>
          </w:tcPr>
          <w:p>
            <w:r>
              <w:t>Cart &amp; checkout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CartItem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Order</w:t>
            </w:r>
            <w:r>
              <w:t xml:space="preserve"> (now with </w:t>
            </w:r>
            <w:r>
              <w:rPr>
                <w:rFonts w:ascii="Consolas" w:hAnsi="Consolas"/>
                <w:sz w:val="20"/>
              </w:rPr>
              <w:t>vatUgx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deliveryConfirmedAt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shippingZoneName</w:t>
            </w:r>
            <w:r>
              <w:t xml:space="preserve"> — added this session, see below), </w:t>
            </w:r>
            <w:r>
              <w:rPr>
                <w:rFonts w:ascii="Consolas" w:hAnsi="Consolas"/>
                <w:sz w:val="20"/>
              </w:rPr>
              <w:t>OrderItem</w:t>
            </w:r>
            <w:r>
              <w:t xml:space="preserve"> (now with </w:t>
            </w:r>
            <w:r>
              <w:rPr>
                <w:rFonts w:ascii="Consolas" w:hAnsi="Consolas"/>
                <w:sz w:val="20"/>
              </w:rPr>
              <w:t>vendorId</w:t>
            </w:r>
            <w:r>
              <w:t>/</w:t>
            </w:r>
            <w:r>
              <w:rPr>
                <w:rFonts w:ascii="Consolas" w:hAnsi="Consolas"/>
                <w:sz w:val="20"/>
              </w:rPr>
              <w:t>costUgxSnapshot</w:t>
            </w:r>
            <w:r>
              <w:t>/</w:t>
            </w:r>
            <w:r>
              <w:rPr>
                <w:rFonts w:ascii="Consolas" w:hAnsi="Consolas"/>
                <w:sz w:val="20"/>
              </w:rPr>
              <w:t>platformCommissionUgx</w:t>
            </w:r>
            <w:r>
              <w:t>/</w:t>
            </w:r>
            <w:r>
              <w:rPr>
                <w:rFonts w:ascii="Consolas" w:hAnsi="Consolas"/>
                <w:sz w:val="20"/>
              </w:rPr>
              <w:t>vendorPayoutUgx</w:t>
            </w:r>
            <w:r>
              <w:t>/</w:t>
            </w:r>
            <w:r>
              <w:rPr>
                <w:rFonts w:ascii="Consolas" w:hAnsi="Consolas"/>
                <w:sz w:val="20"/>
              </w:rPr>
              <w:t>vendorPayoutId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Shipping pricing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ShippingZone</w:t>
            </w:r>
            <w:r>
              <w:t xml:space="preserve"> — added this session (per user decision, not in the original SRS): admin-managed towns-to-fee mapping, one fee per </w:t>
            </w:r>
            <w:r>
              <w:rPr>
                <w:rFonts w:ascii="Consolas" w:hAnsi="Consolas"/>
                <w:sz w:val="20"/>
              </w:rPr>
              <w:t>DeliveryMethod</w:t>
            </w:r>
            <w:r>
              <w:t xml:space="preserve">, replacing the old flat per-method fee table. </w:t>
            </w:r>
            <w:r>
              <w:rPr>
                <w:rFonts w:ascii="Consolas" w:hAnsi="Consolas"/>
                <w:sz w:val="20"/>
              </w:rPr>
              <w:t>CheckoutService</w:t>
            </w:r>
            <w:r>
              <w:t xml:space="preserve"> matches the order's destination city against a zone's </w:t>
            </w:r>
            <w:r>
              <w:rPr>
                <w:rFonts w:ascii="Consolas" w:hAnsi="Consolas"/>
                <w:sz w:val="20"/>
              </w:rPr>
              <w:t>towns</w:t>
            </w:r>
            <w:r>
              <w:t xml:space="preserve"> and charges that zone's fee for the chosen method, falling back to whichever zone has </w:t>
            </w:r>
            <w:r>
              <w:rPr>
                <w:rFonts w:ascii="Consolas" w:hAnsi="Consolas"/>
                <w:sz w:val="20"/>
              </w:rPr>
              <w:t>isDefault: true</w:t>
            </w:r>
            <w:r>
              <w:t xml:space="preserve"> (seeded as "Rest of Uganda") when nothing matches — see </w:t>
            </w:r>
            <w:hyperlink r:id="rId12">
              <w:r>
                <w:rPr>
                  <w:color w:val="0563C1"/>
                  <w:u w:val="single"/>
                </w:rPr>
                <w:t xml:space="preserve">`16-user-and-administrator-procedures.md`</w:t>
              </w:r>
            </w:hyperlink>
            <w:r>
              <w:t xml:space="preserve"> for how an admin edits zones/rates and </w:t>
            </w:r>
            <w:hyperlink r:id="rId10">
              <w:r>
                <w:rPr>
                  <w:color w:val="0563C1"/>
                  <w:u w:val="single"/>
                </w:rPr>
                <w:t xml:space="preserve">`23-data-dictionary.md`</w:t>
              </w:r>
            </w:hyperlink>
            <w:r>
              <w:t xml:space="preserve"> for the full field list</w:t>
            </w:r>
          </w:p>
        </w:tc>
      </w:tr>
      <w:tr>
        <w:tc>
          <w:tcPr>
            <w:tcW w:type="dxa" w:w="4320"/>
          </w:tcPr>
          <w:p>
            <w:r>
              <w:t>Delivery (Driver App)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Delivery</w:t>
            </w:r>
            <w:r>
              <w:t xml:space="preserve"> — 1:1 with </w:t>
            </w:r>
            <w:r>
              <w:rPr>
                <w:rFonts w:ascii="Consolas" w:hAnsi="Consolas"/>
                <w:sz w:val="20"/>
              </w:rPr>
              <w:t>Order</w:t>
            </w:r>
            <w:r>
              <w:t xml:space="preserve">, driver assignment + GPS pickup/delivery tracking (each snapshotted with a reverse-geocoded place name, added this session — see </w:t>
            </w:r>
            <w:hyperlink r:id="rId10">
              <w:r>
                <w:rPr>
                  <w:color w:val="0563C1"/>
                  <w:u w:val="single"/>
                </w:rPr>
                <w:t xml:space="preserve">`23-data-dictionary.md`</w:t>
              </w:r>
            </w:hyperlink>
            <w:r>
              <w:t xml:space="preserve">) + </w:t>
            </w:r>
            <w:r>
              <w:rPr>
                <w:rFonts w:ascii="Consolas" w:hAnsi="Consolas"/>
                <w:sz w:val="20"/>
              </w:rPr>
              <w:t>priority</w:t>
            </w:r>
            <w:r>
              <w:t xml:space="preserve"> (commit </w:t>
            </w:r>
            <w:r>
              <w:rPr>
                <w:rFonts w:ascii="Consolas" w:hAnsi="Consolas"/>
                <w:sz w:val="20"/>
              </w:rPr>
              <w:t>445a258</w:t>
            </w:r>
            <w:r>
              <w:t xml:space="preserve">), not in the original SRS (per user request, see </w:t>
            </w:r>
            <w:hyperlink r:id="rId11">
              <w:r>
                <w:rPr>
                  <w:color w:val="0563C1"/>
                  <w:u w:val="single"/>
                </w:rPr>
                <w:t xml:space="preserve">`07-authentication-and-authorization.md`</w:t>
              </w:r>
            </w:hyperlink>
            <w:r>
              <w:t xml:space="preserve"> for the new </w:t>
            </w:r>
            <w:r>
              <w:rPr>
                <w:rFonts w:ascii="Consolas" w:hAnsi="Consolas"/>
                <w:sz w:val="20"/>
              </w:rPr>
              <w:t>DRIVER</w:t>
            </w:r>
            <w:r>
              <w:t xml:space="preserve"> role and </w:t>
            </w:r>
            <w:hyperlink r:id="rId12">
              <w:r>
                <w:rPr>
                  <w:color w:val="0563C1"/>
                  <w:u w:val="single"/>
                </w:rPr>
                <w:t xml:space="preserve">`16-user-and-administrator-procedures.md`</w:t>
              </w:r>
            </w:hyperlink>
            <w:r>
              <w:t xml:space="preserve"> for how it's used). </w:t>
            </w:r>
            <w:r>
              <w:rPr>
                <w:rFonts w:ascii="Consolas" w:hAnsi="Consolas"/>
                <w:sz w:val="20"/>
              </w:rPr>
              <w:t>User.driverStatus</w:t>
            </w:r>
            <w:r>
              <w:t xml:space="preserve"> (self-reported availability, commit </w:t>
            </w:r>
            <w:r>
              <w:rPr>
                <w:rFonts w:ascii="Consolas" w:hAnsi="Consolas"/>
                <w:sz w:val="20"/>
              </w:rPr>
              <w:t>445a258</w:t>
            </w:r>
            <w:r>
              <w:t xml:space="preserve">) lives on </w:t>
            </w:r>
            <w:r>
              <w:rPr>
                <w:rFonts w:ascii="Consolas" w:hAnsi="Consolas"/>
                <w:sz w:val="20"/>
              </w:rPr>
              <w:t>User</w:t>
            </w:r>
            <w:r>
              <w:t xml:space="preserve"> itself, not this table</w:t>
            </w:r>
          </w:p>
        </w:tc>
      </w:tr>
      <w:tr>
        <w:tc>
          <w:tcPr>
            <w:tcW w:type="dxa" w:w="4320"/>
          </w:tcPr>
          <w:p>
            <w:r>
              <w:t>Marketplace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Vendor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VendorPayout</w:t>
            </w:r>
            <w:r>
              <w:t xml:space="preserve"> — see below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PaymentTransaction</w:t>
            </w:r>
            <w:r>
              <w:t xml:space="preserve"> — see below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Coupon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Bundle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NewsletterSubscriber</w:t>
            </w:r>
            <w:r>
              <w:t xml:space="preserve"> (FR-26.4 — footer email capture, not tied to </w:t>
            </w:r>
            <w:r>
              <w:rPr>
                <w:rFonts w:ascii="Consolas" w:hAnsi="Consolas"/>
                <w:sz w:val="20"/>
              </w:rPr>
              <w:t>User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NewsletterCampaign</w:t>
            </w:r>
            <w:r>
              <w:t xml:space="preserve"> (one row per admin "Compose Newsletter" send)</w:t>
            </w:r>
          </w:p>
        </w:tc>
      </w:tr>
      <w:tr>
        <w:tc>
          <w:tcPr>
            <w:tcW w:type="dxa" w:w="4320"/>
          </w:tcPr>
          <w:p>
            <w:r>
              <w:t>Loyalty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LoyaltyAccount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LoyaltyLedgerEntry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Notification</w:t>
            </w:r>
            <w:r>
              <w:t xml:space="preserve"> (generic in-app notification center, </w:t>
            </w:r>
            <w:r>
              <w:rPr>
                <w:rFonts w:ascii="Consolas" w:hAnsi="Consolas"/>
                <w:sz w:val="20"/>
              </w:rPr>
              <w:t>userId</w:t>
            </w:r>
            <w:r>
              <w:t xml:space="preserve">-scoped; </w:t>
            </w:r>
            <w:r>
              <w:rPr>
                <w:rFonts w:ascii="Consolas" w:hAnsi="Consolas"/>
                <w:sz w:val="20"/>
              </w:rPr>
              <w:t>NotificationType.NEWSLETTER</w:t>
            </w:r>
            <w:r>
              <w:t xml:space="preserve"> is the only type in use so far — see FR-26.4)</w:t>
            </w:r>
          </w:p>
        </w:tc>
      </w:tr>
      <w:tr>
        <w:tc>
          <w:tcPr>
            <w:tcW w:type="dxa" w:w="4320"/>
          </w:tcPr>
          <w:p>
            <w:r>
              <w:t>CRM / support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Review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SupportTicket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TicketMessage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WishlistItem</w:t>
            </w:r>
          </w:p>
        </w:tc>
      </w:tr>
      <w:tr>
        <w:tc>
          <w:tcPr>
            <w:tcW w:type="dxa" w:w="4320"/>
          </w:tcPr>
          <w:p>
            <w:r>
              <w:t>CMS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CmsPage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Banner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BlogPost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SocialMediaAccount</w:t>
            </w:r>
          </w:p>
        </w:tc>
      </w:tr>
      <w:tr>
        <w:tc>
          <w:tcPr>
            <w:tcW w:type="dxa" w:w="4320"/>
          </w:tcPr>
          <w:p>
            <w:r>
              <w:t>HR — org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Department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DepartmentPermission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Employee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EmploymentHistoryEntry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EmployeeDocument</w:t>
            </w:r>
          </w:p>
        </w:tc>
      </w:tr>
      <w:tr>
        <w:tc>
          <w:tcPr>
            <w:tcW w:type="dxa" w:w="4320"/>
          </w:tcPr>
          <w:p>
            <w:r>
              <w:t>HR — attendance/leave/shifts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TimeEntry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LeaveRequest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Shift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ShiftSwapRequest</w:t>
            </w:r>
          </w:p>
        </w:tc>
      </w:tr>
      <w:tr>
        <w:tc>
          <w:tcPr>
            <w:tcW w:type="dxa" w:w="4320"/>
          </w:tcPr>
          <w:p>
            <w:r>
              <w:t>HR — performance/recruitment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PerformanceGoal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PerformanceFeedback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PerformanceReview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JobPosting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Applicant</w:t>
            </w:r>
          </w:p>
        </w:tc>
      </w:tr>
      <w:tr>
        <w:tc>
          <w:tcPr>
            <w:tcW w:type="dxa" w:w="4320"/>
          </w:tcPr>
          <w:p>
            <w:r>
              <w:t>HR — payroll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PayrollPeriod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Payslip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EmployeeAllowance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SalaryAdvance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PayslipAdvanceRepayment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PayrollAdjustment</w:t>
            </w:r>
          </w:p>
        </w:tc>
      </w:tr>
      <w:tr>
        <w:tc>
          <w:tcPr>
            <w:tcW w:type="dxa" w:w="4320"/>
          </w:tcPr>
          <w:p>
            <w:r>
              <w:t>Activity log / audit trail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ActivityLog</w:t>
            </w:r>
            <w:r>
              <w:t xml:space="preserve"> — see below</w:t>
            </w:r>
          </w:p>
        </w:tc>
      </w:tr>
      <w:tr>
        <w:tc>
          <w:tcPr>
            <w:tcW w:type="dxa" w:w="4320"/>
          </w:tcPr>
          <w:p>
            <w:r>
              <w:t>Financial &amp; accounting (multi-entity)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LegalEntity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GroupSettings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Account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FiscalPeriod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JournalEntry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JournalEntryLine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ExchangeRateHistory</w:t>
            </w:r>
            <w:r>
              <w:t xml:space="preserve"> — see below</w:t>
            </w:r>
          </w:p>
        </w:tc>
      </w:tr>
    </w:tbl>
    <w:p>
      <w:r>
        <w:t>~30 enums back these models (</w:t>
      </w:r>
      <w:r>
        <w:rPr>
          <w:rFonts w:ascii="Consolas" w:hAnsi="Consolas"/>
          <w:sz w:val="20"/>
        </w:rPr>
        <w:t>UserRole</w:t>
      </w:r>
      <w:r>
        <w:t xml:space="preserve">, </w:t>
      </w:r>
      <w:r>
        <w:rPr>
          <w:rFonts w:ascii="Consolas" w:hAnsi="Consolas"/>
          <w:sz w:val="20"/>
        </w:rPr>
        <w:t>OrderStatus</w:t>
      </w:r>
      <w:r>
        <w:t xml:space="preserve">, </w:t>
      </w:r>
      <w:r>
        <w:rPr>
          <w:rFonts w:ascii="Consolas" w:hAnsi="Consolas"/>
          <w:sz w:val="20"/>
        </w:rPr>
        <w:t>PayrollPeriodType</w:t>
      </w:r>
      <w:r>
        <w:t>, etc.) — see the schema directly for the authoritative list; enumerating them here would immediately drift out of sync.</w:t>
      </w:r>
    </w:p>
    <w:p>
      <w:pPr>
        <w:pStyle w:val="Heading2"/>
      </w:pPr>
      <w:r>
        <w:t>Activity log / audit trail</w:t>
      </w:r>
    </w:p>
    <w:p>
      <w:r>
        <w:rPr>
          <w:rFonts w:ascii="Consolas" w:hAnsi="Consolas"/>
          <w:sz w:val="20"/>
        </w:rPr>
        <w:t>ActivityLog</w:t>
      </w:r>
      <w:r>
        <w:t xml:space="preserve"> (docs/SRS.md §19) is the one model in this schema deliberately </w:t>
      </w:r>
      <w:r>
        <w:rPr>
          <w:b/>
        </w:rPr>
        <w:t>without</w:t>
      </w:r>
      <w:r>
        <w:t xml:space="preserve"> a foreign key back to </w:t>
      </w:r>
      <w:r>
        <w:rPr>
          <w:rFonts w:ascii="Consolas" w:hAnsi="Consolas"/>
          <w:sz w:val="20"/>
        </w:rPr>
        <w:t>User</w:t>
      </w:r>
      <w:r>
        <w:t xml:space="preserve"> — </w:t>
      </w:r>
      <w:r>
        <w:rPr>
          <w:rFonts w:ascii="Consolas" w:hAnsi="Consolas"/>
          <w:sz w:val="20"/>
        </w:rPr>
        <w:t>actorUserId</w:t>
      </w:r>
      <w:r>
        <w:t>/</w:t>
      </w:r>
      <w:r>
        <w:rPr>
          <w:rFonts w:ascii="Consolas" w:hAnsi="Consolas"/>
          <w:sz w:val="20"/>
        </w:rPr>
        <w:t>actorRole</w:t>
      </w:r>
      <w:r>
        <w:t xml:space="preserve"> are plain columns, snapshotted at write time, not a </w:t>
      </w:r>
      <w:r>
        <w:rPr>
          <w:rFonts w:ascii="Consolas" w:hAnsi="Consolas"/>
          <w:sz w:val="20"/>
        </w:rPr>
        <w:t>@relation</w:t>
      </w:r>
      <w:r>
        <w:t xml:space="preserve">. This is intentional: an audit trail needs to survive independently of the row it describes (the same reasoning as "Delete Account" scrubbing-not-deleting </w:t>
      </w:r>
      <w:r>
        <w:rPr>
          <w:rFonts w:ascii="Consolas" w:hAnsi="Consolas"/>
          <w:sz w:val="20"/>
        </w:rPr>
        <w:t>User</w:t>
      </w:r>
      <w:r>
        <w:t xml:space="preserve">), and a plain column means a log write can never fail or block on a since-anonymized actor. Written via </w:t>
      </w:r>
      <w:r>
        <w:rPr>
          <w:rFonts w:ascii="Consolas" w:hAnsi="Consolas"/>
          <w:sz w:val="20"/>
        </w:rPr>
        <w:t>ActivityLogService.record()</w:t>
      </w:r>
      <w:r>
        <w:t xml:space="preserve"> (</w:t>
      </w:r>
      <w:r>
        <w:rPr>
          <w:rFonts w:ascii="Consolas" w:hAnsi="Consolas"/>
          <w:sz w:val="20"/>
        </w:rPr>
        <w:t>apps/api/src/common/activity-log</w:t>
      </w:r>
      <w:r>
        <w:t xml:space="preserve">), which accepts the same optional transaction-client parameter used throughout this codebase (see </w:t>
      </w:r>
      <w:r>
        <w:rPr>
          <w:rFonts w:ascii="Consolas" w:hAnsi="Consolas"/>
          <w:sz w:val="20"/>
        </w:rPr>
        <w:t>CatalogService.getByIdForAdmin()</w:t>
      </w:r>
      <w:r>
        <w:t xml:space="preserve">) so it can log atomically inside an already-open </w:t>
      </w:r>
      <w:r>
        <w:rPr>
          <w:rFonts w:ascii="Consolas" w:hAnsi="Consolas"/>
          <w:sz w:val="20"/>
        </w:rPr>
        <w:t>$transaction</w:t>
      </w:r>
      <w:r>
        <w:t>, and is deliberately best-effort — a logging failure never rolls back or fails the business operation it's describing.</w:t>
      </w:r>
    </w:p>
    <w:p>
      <w:pPr>
        <w:pStyle w:val="Heading2"/>
      </w:pPr>
      <w:r>
        <w:t>Support tickets</w:t>
      </w:r>
    </w:p>
    <w:p>
      <w:r>
        <w:rPr>
          <w:rFonts w:ascii="Consolas" w:hAnsi="Consolas"/>
          <w:sz w:val="20"/>
        </w:rPr>
        <w:t>docs/SRS.md</w:t>
      </w:r>
      <w:r>
        <w:t xml:space="preserve"> FR-7.4. </w:t>
      </w:r>
      <w:r>
        <w:rPr>
          <w:rFonts w:ascii="Consolas" w:hAnsi="Consolas"/>
          <w:sz w:val="20"/>
        </w:rPr>
        <w:t>TicketMessage</w:t>
      </w:r>
      <w:r>
        <w:t xml:space="preserve"> (one row per reply, either side) is a real threaded conversation on a </w:t>
      </w:r>
      <w:r>
        <w:rPr>
          <w:rFonts w:ascii="Consolas" w:hAnsi="Consolas"/>
          <w:sz w:val="20"/>
        </w:rPr>
        <w:t>SupportTicket</w:t>
      </w:r>
      <w:r>
        <w:t xml:space="preserve">, not a single overwritable response field — </w:t>
      </w:r>
      <w:r>
        <w:rPr>
          <w:rFonts w:ascii="Consolas" w:hAnsi="Consolas"/>
          <w:sz w:val="20"/>
        </w:rPr>
        <w:t>TicketStatus</w:t>
      </w:r>
      <w:r>
        <w:t xml:space="preserve"> already includes </w:t>
      </w:r>
      <w:r>
        <w:rPr>
          <w:rFonts w:ascii="Consolas" w:hAnsi="Consolas"/>
          <w:sz w:val="20"/>
        </w:rPr>
        <w:t>IN_PROGRESS</w:t>
      </w:r>
      <w:r>
        <w:t xml:space="preserve">, implying back-and-forth before resolution. </w:t>
      </w:r>
      <w:r>
        <w:rPr>
          <w:rFonts w:ascii="Consolas" w:hAnsi="Consolas"/>
          <w:sz w:val="20"/>
        </w:rPr>
        <w:t>TicketMessage.authorRole</w:t>
      </w:r>
      <w:r>
        <w:t xml:space="preserve"> is snapshotted at write time, the same reasoning as </w:t>
      </w:r>
      <w:r>
        <w:rPr>
          <w:rFonts w:ascii="Consolas" w:hAnsi="Consolas"/>
          <w:sz w:val="20"/>
        </w:rPr>
        <w:t>ActivityLog.actorRole</w:t>
      </w:r>
      <w:r>
        <w:t xml:space="preserve"> above: a later role change shouldn't rewrite how a past message rendered (customer bubble vs. staff bubble). No enforced status-transition graph (unlike </w:t>
      </w:r>
      <w:r>
        <w:rPr>
          <w:rFonts w:ascii="Consolas" w:hAnsi="Consolas"/>
          <w:sz w:val="20"/>
        </w:rPr>
        <w:t>Order.status</w:t>
      </w:r>
      <w:r>
        <w:t xml:space="preserve">'s FR-23 pipeline) — a ticket's status has no comparable inventory/loyalty side effects gating it — except that </w:t>
      </w:r>
      <w:r>
        <w:rPr>
          <w:rFonts w:ascii="Consolas" w:hAnsi="Consolas"/>
          <w:sz w:val="20"/>
        </w:rPr>
        <w:t>CLOSED</w:t>
      </w:r>
      <w:r>
        <w:t xml:space="preserve"> is a hard stop: </w:t>
      </w:r>
      <w:r>
        <w:rPr>
          <w:rFonts w:ascii="Consolas" w:hAnsi="Consolas"/>
          <w:sz w:val="20"/>
        </w:rPr>
        <w:t>SupportService</w:t>
      </w:r>
      <w:r>
        <w:t xml:space="preserve"> rejects a new </w:t>
      </w:r>
      <w:r>
        <w:rPr>
          <w:rFonts w:ascii="Consolas" w:hAnsi="Consolas"/>
          <w:sz w:val="20"/>
        </w:rPr>
        <w:t>TicketMessage</w:t>
      </w:r>
      <w:r>
        <w:t xml:space="preserve"> from either side once a ticket is </w:t>
      </w:r>
      <w:r>
        <w:rPr>
          <w:rFonts w:ascii="Consolas" w:hAnsi="Consolas"/>
          <w:sz w:val="20"/>
        </w:rPr>
        <w:t>CLOSED</w:t>
      </w:r>
      <w:r>
        <w:t xml:space="preserve">, until staff move it to a different status. </w:t>
      </w:r>
      <w:r>
        <w:rPr>
          <w:rFonts w:ascii="Consolas" w:hAnsi="Consolas"/>
          <w:sz w:val="20"/>
        </w:rPr>
        <w:t>authorUserId</w:t>
      </w:r>
      <w:r>
        <w:t xml:space="preserve"> itself, like </w:t>
      </w:r>
      <w:r>
        <w:rPr>
          <w:rFonts w:ascii="Consolas" w:hAnsi="Consolas"/>
          <w:sz w:val="20"/>
        </w:rPr>
        <w:t>ActivityLog.actorUserId</w:t>
      </w:r>
      <w:r>
        <w:t xml:space="preserve">, is resolved into a display name at </w:t>
      </w:r>
      <w:r>
        <w:rPr>
          <w:b/>
        </w:rPr>
        <w:t>read time</w:t>
      </w:r>
      <w:r>
        <w:t xml:space="preserve">, not stored redundantly — </w:t>
      </w:r>
      <w:r>
        <w:rPr>
          <w:rFonts w:ascii="Consolas" w:hAnsi="Consolas"/>
          <w:sz w:val="20"/>
        </w:rPr>
        <w:t>SupportService.attachAuthorNames()</w:t>
      </w:r>
      <w:r>
        <w:t xml:space="preserve"> prefers the linked </w:t>
      </w:r>
      <w:r>
        <w:rPr>
          <w:rFonts w:ascii="Consolas" w:hAnsi="Consolas"/>
          <w:sz w:val="20"/>
        </w:rPr>
        <w:t>Employee</w:t>
      </w:r>
      <w:r>
        <w:t xml:space="preserve"> record's name over the login account's </w:t>
      </w:r>
      <w:r>
        <w:rPr>
          <w:rFonts w:ascii="Consolas" w:hAnsi="Consolas"/>
          <w:sz w:val="20"/>
        </w:rPr>
        <w:t>User.name</w:t>
      </w:r>
      <w:r>
        <w:t xml:space="preserve">, the same identity-resolution pattern </w:t>
      </w:r>
      <w:r>
        <w:rPr>
          <w:rFonts w:ascii="Consolas" w:hAnsi="Consolas"/>
          <w:sz w:val="20"/>
        </w:rPr>
        <w:t>ActivityLogService.enrichWithActorIdentity()</w:t>
      </w:r>
      <w:r>
        <w:t xml:space="preserve"> uses above.</w:t>
      </w:r>
    </w:p>
    <w:p>
      <w:pPr>
        <w:pStyle w:val="Heading2"/>
      </w:pPr>
      <w:r>
        <w:t>CMS admin writes — Social Media Accounts, Pages, Banners</w:t>
      </w:r>
    </w:p>
    <w:p>
      <w:r>
        <w:rPr>
          <w:rFonts w:ascii="Consolas" w:hAnsi="Consolas"/>
          <w:sz w:val="20"/>
        </w:rPr>
        <w:t>docs/SRS.md</w:t>
      </w:r>
      <w:r>
        <w:t xml:space="preserve"> FR-19.2/FR-1.6/FR-27.1. Three of </w:t>
      </w:r>
      <w:r>
        <w:rPr>
          <w:rFonts w:ascii="Consolas" w:hAnsi="Consolas"/>
          <w:sz w:val="20"/>
        </w:rPr>
        <w:t>CmsService</w:t>
      </w:r>
      <w:r>
        <w:t xml:space="preserve">'s models now have a real admin write side, all </w:t>
      </w:r>
      <w:r>
        <w:rPr>
          <w:rFonts w:ascii="Consolas" w:hAnsi="Consolas"/>
          <w:sz w:val="20"/>
        </w:rPr>
        <w:t>OWNER</w:t>
      </w:r>
      <w:r>
        <w:t>/</w:t>
      </w:r>
      <w:r>
        <w:rPr>
          <w:rFonts w:ascii="Consolas" w:hAnsi="Consolas"/>
          <w:sz w:val="20"/>
        </w:rPr>
        <w:t>STORE_MANAGER</w:t>
      </w:r>
      <w:r>
        <w:t>, all Activity-Log-recorded — every other CMS-domain model (</w:t>
      </w:r>
      <w:r>
        <w:rPr>
          <w:rFonts w:ascii="Consolas" w:hAnsi="Consolas"/>
          <w:sz w:val="20"/>
        </w:rPr>
        <w:t>BlogPost</w:t>
      </w:r>
      <w:r>
        <w:t>) stays read-only.</w:t>
      </w:r>
    </w:p>
    <w:p>
      <w:pPr>
        <w:pStyle w:val="ListBullet"/>
      </w:pPr>
      <w:r>
        <w:rPr>
          <w:rFonts w:ascii="Consolas" w:hAnsi="Consolas"/>
          <w:b/>
          <w:sz w:val="20"/>
        </w:rPr>
        <w:t>SocialMediaAccount</w:t>
      </w:r>
      <w:r>
        <w:t xml:space="preserve"> follows </w:t>
      </w:r>
      <w:r>
        <w:rPr>
          <w:rFonts w:ascii="Consolas" w:hAnsi="Consolas"/>
          <w:sz w:val="20"/>
        </w:rPr>
        <w:t>Banner</w:t>
      </w:r>
      <w:r>
        <w:t xml:space="preserve">'s </w:t>
      </w:r>
      <w:r>
        <w:rPr>
          <w:rFonts w:ascii="Consolas" w:hAnsi="Consolas"/>
          <w:sz w:val="20"/>
        </w:rPr>
        <w:t>isActive</w:t>
      </w:r>
      <w:r>
        <w:t>/</w:t>
      </w:r>
      <w:r>
        <w:rPr>
          <w:rFonts w:ascii="Consolas" w:hAnsi="Consolas"/>
          <w:sz w:val="20"/>
        </w:rPr>
        <w:t>sortOrder</w:t>
      </w:r>
      <w:r>
        <w:t xml:space="preserve"> shape rather than </w:t>
      </w:r>
      <w:r>
        <w:rPr>
          <w:rFonts w:ascii="Consolas" w:hAnsi="Consolas"/>
          <w:sz w:val="20"/>
        </w:rPr>
        <w:t>CmsPage</w:t>
      </w:r>
      <w:r>
        <w:t>/</w:t>
      </w:r>
      <w:r>
        <w:rPr>
          <w:rFonts w:ascii="Consolas" w:hAnsi="Consolas"/>
          <w:sz w:val="20"/>
        </w:rPr>
        <w:t>BlogPost</w:t>
      </w:r>
      <w:r>
        <w:t xml:space="preserve">'s draft/published </w:t>
      </w:r>
      <w:r>
        <w:rPr>
          <w:rFonts w:ascii="Consolas" w:hAnsi="Consolas"/>
          <w:sz w:val="20"/>
        </w:rPr>
        <w:t>CmsStatus</w:t>
      </w:r>
      <w:r>
        <w:t xml:space="preserve"> — a social link is either shown or it isn't, there's no separate "draft" concept for it. </w:t>
      </w:r>
      <w:r>
        <w:rPr>
          <w:rFonts w:ascii="Consolas" w:hAnsi="Consolas"/>
          <w:sz w:val="20"/>
        </w:rPr>
        <w:t>platform</w:t>
      </w:r>
      <w:r>
        <w:t xml:space="preserve"> is a plain string, not an enum, specifically so an admin can add any platform without a schema change — this codebase has no icon library, so it always renders as a text label regardless of which platform it is. One admin-managed table backs two storefront surfaces (the footer and Account → Connected &amp; Social) via a single public endpoint, </w:t>
      </w:r>
      <w:r>
        <w:rPr>
          <w:rFonts w:ascii="Consolas" w:hAnsi="Consolas"/>
          <w:sz w:val="20"/>
        </w:rPr>
        <w:t>GET /cms/social-links</w:t>
      </w:r>
      <w:r>
        <w:t xml:space="preserve"> (active links only, sorted) — previously these were two separately hardcoded, inconsistent lists of non-clickable labels.</w:t>
      </w:r>
    </w:p>
    <w:p>
      <w:pPr>
        <w:pStyle w:val="ListBullet"/>
      </w:pPr>
      <w:r>
        <w:rPr>
          <w:rFonts w:ascii="Consolas" w:hAnsi="Consolas"/>
          <w:b/>
          <w:sz w:val="20"/>
        </w:rPr>
        <w:t>CmsPage</w:t>
      </w:r>
      <w:r>
        <w:t xml:space="preserve"> writes (</w:t>
      </w:r>
      <w:r>
        <w:rPr>
          <w:rFonts w:ascii="Consolas" w:hAnsi="Consolas"/>
          <w:sz w:val="20"/>
        </w:rPr>
        <w:t>/admin/pages</w:t>
      </w:r>
      <w:r>
        <w:t>) reuse the exact same collision-handled slugify as products (</w:t>
      </w:r>
      <w:r>
        <w:rPr>
          <w:rFonts w:ascii="Consolas" w:hAnsi="Consolas"/>
          <w:sz w:val="20"/>
        </w:rPr>
        <w:t>CatalogService.uniqueSlug()</w:t>
      </w:r>
      <w:r>
        <w:t xml:space="preserve">, duplicated as </w:t>
      </w:r>
      <w:r>
        <w:rPr>
          <w:rFonts w:ascii="Consolas" w:hAnsi="Consolas"/>
          <w:sz w:val="20"/>
        </w:rPr>
        <w:t>CmsService.uniquePageSlug()</w:t>
      </w:r>
      <w:r>
        <w:t xml:space="preserve"> rather than shared, matching this codebase's "every file fully standalone" convention) — </w:t>
      </w:r>
      <w:r>
        <w:rPr>
          <w:rFonts w:ascii="Consolas" w:hAnsi="Consolas"/>
          <w:sz w:val="20"/>
        </w:rPr>
        <w:t>slug</w:t>
      </w:r>
      <w:r>
        <w:t xml:space="preserve"> auto-derives from </w:t>
      </w:r>
      <w:r>
        <w:rPr>
          <w:rFonts w:ascii="Consolas" w:hAnsi="Consolas"/>
          <w:sz w:val="20"/>
        </w:rPr>
        <w:t>title</w:t>
      </w:r>
      <w:r>
        <w:t xml:space="preserve"> if omitted on create. A </w:t>
      </w:r>
      <w:r>
        <w:rPr>
          <w:rFonts w:ascii="Consolas" w:hAnsi="Consolas"/>
          <w:sz w:val="20"/>
        </w:rPr>
        <w:t>PUBLISHED</w:t>
      </w:r>
      <w:r>
        <w:t xml:space="preserve"> page is publicly readable at both </w:t>
      </w:r>
      <w:r>
        <w:rPr>
          <w:rFonts w:ascii="Consolas" w:hAnsi="Consolas"/>
          <w:sz w:val="20"/>
        </w:rPr>
        <w:t>GET /cms/pages/:slug</w:t>
      </w:r>
      <w:r>
        <w:t xml:space="preserve"> and the storefront route </w:t>
      </w:r>
      <w:r>
        <w:rPr>
          <w:rFonts w:ascii="Consolas" w:hAnsi="Consolas"/>
          <w:sz w:val="20"/>
        </w:rPr>
        <w:t>/pages/[slug]</w:t>
      </w:r>
      <w:r>
        <w:t xml:space="preserve"> — previously </w:t>
      </w:r>
      <w:r>
        <w:rPr>
          <w:rFonts w:ascii="Consolas" w:hAnsi="Consolas"/>
          <w:sz w:val="20"/>
        </w:rPr>
        <w:t>CmsPage</w:t>
      </w:r>
      <w:r>
        <w:t xml:space="preserve"> had no per-page public read endpoint at all, only the list.</w:t>
      </w:r>
    </w:p>
    <w:p>
      <w:pPr>
        <w:pStyle w:val="ListBullet"/>
      </w:pPr>
      <w:r>
        <w:rPr>
          <w:rFonts w:ascii="Consolas" w:hAnsi="Consolas"/>
          <w:b/>
          <w:sz w:val="20"/>
        </w:rPr>
        <w:t>Banner</w:t>
      </w:r>
      <w:r>
        <w:t xml:space="preserve"> writes (</w:t>
      </w:r>
      <w:r>
        <w:rPr>
          <w:rFonts w:ascii="Consolas" w:hAnsi="Consolas"/>
          <w:sz w:val="20"/>
        </w:rPr>
        <w:t>/admin/banners</w:t>
      </w:r>
      <w:r>
        <w:t xml:space="preserve">) reuse the existing generic image-upload endpoint, </w:t>
      </w:r>
      <w:r>
        <w:rPr>
          <w:rFonts w:ascii="Consolas" w:hAnsi="Consolas"/>
          <w:sz w:val="20"/>
        </w:rPr>
        <w:t>POST /admin/products/media/upload</w:t>
      </w:r>
      <w:r>
        <w:t xml:space="preserve"> (same allowed types/5MB cap as product photos), rather than a duplicate banner-specific upload path. The storefront homepage hero now renders the lowest-</w:t>
      </w:r>
      <w:r>
        <w:rPr>
          <w:rFonts w:ascii="Consolas" w:hAnsi="Consolas"/>
          <w:sz w:val="20"/>
        </w:rPr>
        <w:t>sortOrder</w:t>
      </w:r>
      <w:r>
        <w:t xml:space="preserve"> active banner (previously a static placeholder image) — </w:t>
      </w:r>
      <w:r>
        <w:rPr>
          <w:rFonts w:ascii="Consolas" w:hAnsi="Consolas"/>
          <w:sz w:val="20"/>
        </w:rPr>
        <w:t>linkUrl</w:t>
      </w:r>
      <w:r>
        <w:t xml:space="preserve"> is a plain string, not </w:t>
      </w:r>
      <w:r>
        <w:rPr>
          <w:rFonts w:ascii="Consolas" w:hAnsi="Consolas"/>
          <w:sz w:val="20"/>
        </w:rPr>
        <w:t>@IsUrl</w:t>
      </w:r>
      <w:r>
        <w:t xml:space="preserve">, since it can be a relative in-app path (e.g. </w:t>
      </w:r>
      <w:r>
        <w:rPr>
          <w:rFonts w:ascii="Consolas" w:hAnsi="Consolas"/>
          <w:sz w:val="20"/>
        </w:rPr>
        <w:t>/shop/candles</w:t>
      </w:r>
      <w:r>
        <w:t>), not just an absolute URL.</w:t>
      </w:r>
    </w:p>
    <w:p>
      <w:pPr>
        <w:pStyle w:val="Heading2"/>
      </w:pPr>
      <w:r>
        <w:t>Financial &amp; accounting (multi-entity)</w:t>
      </w:r>
    </w:p>
    <w:p>
      <w:r>
        <w:rPr>
          <w:rFonts w:ascii="Consolas" w:hAnsi="Consolas"/>
          <w:sz w:val="20"/>
        </w:rPr>
        <w:t>docs/SRS.md</w:t>
      </w:r>
      <w:r>
        <w:t xml:space="preserve"> §20 (FIN-FR-*). Real double-entry bookkeeping, not a stub — see </w:t>
      </w:r>
      <w:r>
        <w:rPr>
          <w:rFonts w:ascii="Consolas" w:hAnsi="Consolas"/>
          <w:sz w:val="20"/>
        </w:rPr>
        <w:t>apps/api/src/modules/finance</w:t>
      </w:r>
      <w:r>
        <w:t>. Two design choices worth knowing:</w:t>
      </w:r>
    </w:p>
    <w:p>
      <w:pPr>
        <w:pStyle w:val="ListBullet"/>
      </w:pPr>
      <w:r>
        <w:rPr>
          <w:b/>
        </w:rPr>
        <w:t xml:space="preserve">Money fields use </w:t>
      </w:r>
      <w:r>
        <w:rPr>
          <w:rFonts w:ascii="Consolas" w:hAnsi="Consolas"/>
          <w:b/>
          <w:sz w:val="20"/>
        </w:rPr>
        <w:t>Decimal(18,2)</w:t>
      </w:r>
      <w:r>
        <w:rPr>
          <w:b/>
        </w:rPr>
        <w:t xml:space="preserve"> (via Prisma's </w:t>
      </w:r>
      <w:r>
        <w:rPr>
          <w:rFonts w:ascii="Consolas" w:hAnsi="Consolas"/>
          <w:b/>
          <w:sz w:val="20"/>
        </w:rPr>
        <w:t>Decimal</w:t>
      </w:r>
      <w:r>
        <w:rPr>
          <w:b/>
        </w:rPr>
        <w:t xml:space="preserve"> type), not </w:t>
      </w:r>
      <w:r>
        <w:rPr>
          <w:rFonts w:ascii="Consolas" w:hAnsi="Consolas"/>
          <w:b/>
          <w:sz w:val="20"/>
        </w:rPr>
        <w:t>Int</w:t>
      </w:r>
      <w:r>
        <w:t xml:space="preserve"> — unlike the rest of this schema, which is UGX-only and uses </w:t>
      </w:r>
      <w:r>
        <w:rPr>
          <w:rFonts w:ascii="Consolas" w:hAnsi="Consolas"/>
          <w:sz w:val="20"/>
        </w:rPr>
        <w:t>Int</w:t>
      </w:r>
      <w:r>
        <w:t xml:space="preserve"> (e.g. </w:t>
      </w:r>
      <w:r>
        <w:rPr>
          <w:rFonts w:ascii="Consolas" w:hAnsi="Consolas"/>
          <w:sz w:val="20"/>
        </w:rPr>
        <w:t>Product.priceUgx</w:t>
      </w:r>
      <w:r>
        <w:t xml:space="preserve">). A multi-currency ledger must not round through JS floats or assume a single currency's subunit conventions, so </w:t>
      </w:r>
      <w:r>
        <w:rPr>
          <w:rFonts w:ascii="Consolas" w:hAnsi="Consolas"/>
          <w:sz w:val="20"/>
        </w:rPr>
        <w:t>JournalEntryLine.debitAmount</w:t>
      </w:r>
      <w:r>
        <w:t xml:space="preserve">/ </w:t>
      </w:r>
      <w:r>
        <w:rPr>
          <w:rFonts w:ascii="Consolas" w:hAnsi="Consolas"/>
          <w:sz w:val="20"/>
        </w:rPr>
        <w:t>creditAmount</w:t>
      </w:r>
      <w:r>
        <w:t xml:space="preserve"> and </w:t>
      </w:r>
      <w:r>
        <w:rPr>
          <w:rFonts w:ascii="Consolas" w:hAnsi="Consolas"/>
          <w:sz w:val="20"/>
        </w:rPr>
        <w:t>LegalEntity.currentGroupFxRate</w:t>
      </w:r>
      <w:r>
        <w:t xml:space="preserve"> are all </w:t>
      </w:r>
      <w:r>
        <w:rPr>
          <w:rFonts w:ascii="Consolas" w:hAnsi="Consolas"/>
          <w:sz w:val="20"/>
        </w:rPr>
        <w:t>Decimal</w:t>
      </w:r>
      <w:r>
        <w:t>.</w:t>
      </w:r>
    </w:p>
    <w:p>
      <w:pPr>
        <w:pStyle w:val="ListBullet"/>
      </w:pPr>
      <w:r>
        <w:rPr>
          <w:rFonts w:ascii="Consolas" w:hAnsi="Consolas"/>
          <w:b/>
          <w:sz w:val="20"/>
        </w:rPr>
        <w:t>LegalEntity</w:t>
      </w:r>
      <w:r>
        <w:rPr>
          <w:b/>
        </w:rPr>
        <w:t xml:space="preserve"> is a self-referencing tree</w:t>
      </w:r>
      <w:r>
        <w:t xml:space="preserve"> (</w:t>
      </w:r>
      <w:r>
        <w:rPr>
          <w:rFonts w:ascii="Consolas" w:hAnsi="Consolas"/>
          <w:sz w:val="20"/>
        </w:rPr>
        <w:t>parentEntityId</w:t>
      </w:r>
      <w:r>
        <w:t xml:space="preserve">), not a fixed parent/subsidiary pair — the row with </w:t>
      </w:r>
      <w:r>
        <w:rPr>
          <w:rFonts w:ascii="Consolas" w:hAnsi="Consolas"/>
          <w:sz w:val="20"/>
        </w:rPr>
        <w:t>parentEntityId: null</w:t>
      </w:r>
      <w:r>
        <w:t xml:space="preserve"> is the group's ultimate parent. Every entity keeps its own chart of accounts (</w:t>
      </w:r>
      <w:r>
        <w:rPr>
          <w:rFonts w:ascii="Consolas" w:hAnsi="Consolas"/>
          <w:sz w:val="20"/>
        </w:rPr>
        <w:t>Account</w:t>
      </w:r>
      <w:r>
        <w:t>) and journal (</w:t>
      </w:r>
      <w:r>
        <w:rPr>
          <w:rFonts w:ascii="Consolas" w:hAnsi="Consolas"/>
          <w:sz w:val="20"/>
        </w:rPr>
        <w:t>JournalEntry</w:t>
      </w:r>
      <w:r>
        <w:t>/</w:t>
      </w:r>
      <w:r>
        <w:rPr>
          <w:rFonts w:ascii="Consolas" w:hAnsi="Consolas"/>
          <w:sz w:val="20"/>
        </w:rPr>
        <w:t>JournalEntryLine</w:t>
      </w:r>
      <w:r>
        <w:t xml:space="preserve">), and every entity in the group is seeded with an </w:t>
      </w:r>
      <w:r>
        <w:rPr>
          <w:b/>
        </w:rPr>
        <w:t>identical chart-of-accounts template</w:t>
      </w:r>
      <w:r>
        <w:t xml:space="preserve"> (same codes) specifically so consolidation can sum by account code without a separate cross-entity mapping table — a documented simplification, not a general solution for entities with genuinely divergent local charts of accounts.</w:t>
      </w:r>
    </w:p>
    <w:p>
      <w:r>
        <w:rPr>
          <w:rFonts w:ascii="Consolas" w:hAnsi="Consolas"/>
          <w:sz w:val="20"/>
        </w:rPr>
        <w:t>FiscalPeriod</w:t>
      </w:r>
      <w:r>
        <w:t xml:space="preserve"> (open/closed, per entity per month) gates which periods can still accept postings — the same integrity purpose as HR's </w:t>
      </w:r>
      <w:r>
        <w:rPr>
          <w:rFonts w:ascii="Consolas" w:hAnsi="Consolas"/>
          <w:sz w:val="20"/>
        </w:rPr>
        <w:t>PayrollPeriod</w:t>
      </w:r>
      <w:r>
        <w:t xml:space="preserve"> lifecycle. </w:t>
      </w:r>
      <w:r>
        <w:rPr>
          <w:rFonts w:ascii="Consolas" w:hAnsi="Consolas"/>
          <w:sz w:val="20"/>
        </w:rPr>
        <w:t>JournalEntry.intercompanyGroupId</w:t>
      </w:r>
      <w:r>
        <w:t xml:space="preserve"> links the matched pair of entries an intercompany transaction creates across two entities (see </w:t>
      </w:r>
      <w:r>
        <w:rPr>
          <w:rFonts w:ascii="Consolas" w:hAnsi="Consolas"/>
          <w:sz w:val="20"/>
        </w:rPr>
        <w:t>IntercompanyService</w:t>
      </w:r>
      <w:r>
        <w:t xml:space="preserve">) — consolidated reports use it to eliminate intercompany revenue/expense, and the </w:t>
      </w:r>
      <w:r>
        <w:rPr>
          <w:rFonts w:ascii="Consolas" w:hAnsi="Consolas"/>
          <w:sz w:val="20"/>
        </w:rPr>
        <w:t>Account.isIntercompany</w:t>
      </w:r>
      <w:r>
        <w:t xml:space="preserve"> flag to eliminate intercompany balance-sheet balances. </w:t>
      </w:r>
      <w:r>
        <w:rPr>
          <w:rFonts w:ascii="Consolas" w:hAnsi="Consolas"/>
          <w:sz w:val="20"/>
        </w:rPr>
        <w:t>ExchangeRateHistory</w:t>
      </w:r>
      <w:r>
        <w:t xml:space="preserve"> logs every change to a </w:t>
      </w:r>
      <w:r>
        <w:rPr>
          <w:rFonts w:ascii="Consolas" w:hAnsi="Consolas"/>
          <w:sz w:val="20"/>
        </w:rPr>
        <w:t>LegalEntity.currentGroupFxRate</w:t>
      </w:r>
      <w:r>
        <w:t xml:space="preserve"> (</w:t>
      </w:r>
      <w:r>
        <w:rPr>
          <w:rFonts w:ascii="Consolas" w:hAnsi="Consolas"/>
          <w:sz w:val="20"/>
        </w:rPr>
        <w:t>EntitiesService.update()</w:t>
      </w:r>
      <w:r>
        <w:t xml:space="preserve"> writes one before applying the change).</w:t>
      </w:r>
    </w:p>
    <w:p>
      <w:pPr>
        <w:pStyle w:val="Heading2"/>
      </w:pPr>
      <w:r>
        <w:t>Marketplace &amp; payments</w:t>
      </w:r>
    </w:p>
    <w:p>
      <w:r>
        <w:rPr>
          <w:rFonts w:ascii="Consolas" w:hAnsi="Consolas"/>
          <w:sz w:val="20"/>
        </w:rPr>
        <w:t>docs/SRS.md</w:t>
      </w:r>
      <w:r>
        <w:t xml:space="preserve"> §21 (</w:t>
      </w:r>
      <w:r>
        <w:rPr>
          <w:rFonts w:ascii="Consolas" w:hAnsi="Consolas"/>
          <w:sz w:val="20"/>
        </w:rPr>
        <w:t>MKT-FR-*</w:t>
      </w:r>
      <w:r>
        <w:t>/</w:t>
      </w:r>
      <w:r>
        <w:rPr>
          <w:rFonts w:ascii="Consolas" w:hAnsi="Consolas"/>
          <w:sz w:val="20"/>
        </w:rPr>
        <w:t>PAY-FR-*</w:t>
      </w:r>
      <w:r>
        <w:t xml:space="preserve">). </w:t>
      </w:r>
      <w:r>
        <w:rPr>
          <w:rFonts w:ascii="Consolas" w:hAnsi="Consolas"/>
          <w:sz w:val="20"/>
        </w:rPr>
        <w:t>Vendor</w:t>
      </w:r>
      <w:r>
        <w:t xml:space="preserve"> and </w:t>
      </w:r>
      <w:r>
        <w:rPr>
          <w:rFonts w:ascii="Consolas" w:hAnsi="Consolas"/>
          <w:sz w:val="20"/>
        </w:rPr>
        <w:t>VendorPayout</w:t>
      </w:r>
      <w:r>
        <w:t xml:space="preserve"> model the marketplace side; </w:t>
      </w:r>
      <w:r>
        <w:rPr>
          <w:rFonts w:ascii="Consolas" w:hAnsi="Consolas"/>
          <w:sz w:val="20"/>
        </w:rPr>
        <w:t>PaymentTransaction</w:t>
      </w:r>
      <w:r>
        <w:t xml:space="preserve"> models one Flutterwave charge attempt (and its eventual refund/chargeback, tracked as a status transition on the same row, not a separate table). Two things worth knowing:</w:t>
      </w:r>
    </w:p>
    <w:p>
      <w:pPr>
        <w:pStyle w:val="ListBullet"/>
      </w:pPr>
      <w:r>
        <w:rPr>
          <w:rFonts w:ascii="Consolas" w:hAnsi="Consolas"/>
          <w:b/>
          <w:sz w:val="20"/>
        </w:rPr>
        <w:t>OrderItem</w:t>
      </w:r>
      <w:r>
        <w:rPr>
          <w:b/>
        </w:rPr>
        <w:t xml:space="preserve"> snapshots </w:t>
      </w:r>
      <w:r>
        <w:rPr>
          <w:rFonts w:ascii="Consolas" w:hAnsi="Consolas"/>
          <w:b/>
          <w:sz w:val="20"/>
        </w:rPr>
        <w:t>vendorId</w:t>
      </w:r>
      <w:r>
        <w:rPr>
          <w:b/>
        </w:rPr>
        <w:t>/</w:t>
      </w:r>
      <w:r>
        <w:rPr>
          <w:rFonts w:ascii="Consolas" w:hAnsi="Consolas"/>
          <w:b/>
          <w:sz w:val="20"/>
        </w:rPr>
        <w:t>costUgxSnapshot</w:t>
      </w:r>
      <w:r>
        <w:rPr>
          <w:b/>
        </w:rPr>
        <w:t xml:space="preserve"> at checkout, and </w:t>
      </w:r>
      <w:r>
        <w:rPr>
          <w:rFonts w:ascii="Consolas" w:hAnsi="Consolas"/>
          <w:b/>
          <w:sz w:val="20"/>
        </w:rPr>
        <w:t>platformCommissionUgx</w:t>
      </w:r>
      <w:r>
        <w:rPr>
          <w:b/>
        </w:rPr>
        <w:t xml:space="preserve">/ </w:t>
      </w:r>
      <w:r>
        <w:rPr>
          <w:rFonts w:ascii="Consolas" w:hAnsi="Consolas"/>
          <w:b/>
          <w:sz w:val="20"/>
        </w:rPr>
        <w:t>vendorPayoutUgx</w:t>
      </w:r>
      <w:r>
        <w:rPr>
          <w:b/>
        </w:rPr>
        <w:t xml:space="preserve"> at delivery</w:t>
      </w:r>
      <w:r>
        <w:t xml:space="preserve"> — never a live join back to </w:t>
      </w:r>
      <w:r>
        <w:rPr>
          <w:rFonts w:ascii="Consolas" w:hAnsi="Consolas"/>
          <w:sz w:val="20"/>
        </w:rPr>
        <w:t>Product</w:t>
      </w:r>
      <w:r>
        <w:t>/</w:t>
      </w:r>
      <w:r>
        <w:rPr>
          <w:rFonts w:ascii="Consolas" w:hAnsi="Consolas"/>
          <w:sz w:val="20"/>
        </w:rPr>
        <w:t>Vendor</w:t>
      </w:r>
      <w:r>
        <w:t xml:space="preserve">. A vendor's commission rate or a product's cost changing after the sale must not rewrite what was actually earned on that order, the same "snapshot, don't live-join" principle as </w:t>
      </w:r>
      <w:r>
        <w:rPr>
          <w:rFonts w:ascii="Consolas" w:hAnsi="Consolas"/>
          <w:sz w:val="20"/>
        </w:rPr>
        <w:t>Payslip</w:t>
      </w:r>
      <w:r>
        <w:t>/</w:t>
      </w:r>
      <w:r>
        <w:rPr>
          <w:rFonts w:ascii="Consolas" w:hAnsi="Consolas"/>
          <w:sz w:val="20"/>
        </w:rPr>
        <w:t>ActivityLog</w:t>
      </w:r>
      <w:r>
        <w:t xml:space="preserve"> elsewhere in this schema.</w:t>
      </w:r>
    </w:p>
    <w:p>
      <w:pPr>
        <w:pStyle w:val="ListBullet"/>
      </w:pPr>
      <w:r>
        <w:rPr>
          <w:rFonts w:ascii="Consolas" w:hAnsi="Consolas"/>
          <w:b/>
          <w:sz w:val="20"/>
        </w:rPr>
        <w:t>OrderItem.vendorPayoutId</w:t>
      </w:r>
      <w:r>
        <w:t xml:space="preserve"> is what stops a vendor being paid twice for the same sale — </w:t>
      </w:r>
      <w:r>
        <w:rPr>
          <w:rFonts w:ascii="Consolas" w:hAnsi="Consolas"/>
          <w:sz w:val="20"/>
        </w:rPr>
        <w:t>VendorPayout</w:t>
      </w:r>
      <w:r>
        <w:t xml:space="preserve"> computation only pulls items where it's still </w:t>
      </w:r>
      <w:r>
        <w:rPr>
          <w:rFonts w:ascii="Consolas" w:hAnsi="Consolas"/>
          <w:sz w:val="20"/>
        </w:rPr>
        <w:t>null</w:t>
      </w:r>
      <w:r>
        <w:t>, then claims them by setting it, rather than relying on non-overlapping date ranges being chosen correctly every time.</w:t>
      </w:r>
    </w:p>
    <w:p>
      <w:pPr>
        <w:pStyle w:val="ListBullet"/>
      </w:pPr>
      <w:r>
        <w:rPr>
          <w:rFonts w:ascii="Consolas" w:hAnsi="Consolas"/>
          <w:b/>
          <w:sz w:val="20"/>
        </w:rPr>
        <w:t>Order.deliveryConfirmedAt</w:t>
      </w:r>
      <w:r>
        <w:t xml:space="preserve"> (PAY-FR-5, </w:t>
      </w:r>
      <w:r>
        <w:rPr>
          <w:rFonts w:ascii="Consolas" w:hAnsi="Consolas"/>
          <w:sz w:val="20"/>
        </w:rPr>
        <w:t>docs/SRS.md</w:t>
      </w:r>
      <w:r>
        <w:t xml:space="preserve"> §21.5) is the customer's own, separate confirmation that the goods arrived in good condition — set only by the customer (</w:t>
      </w:r>
      <w:r>
        <w:rPr>
          <w:rFonts w:ascii="Consolas" w:hAnsi="Consolas"/>
          <w:sz w:val="20"/>
        </w:rPr>
        <w:t>PATCH /orders/:id/confirm-receipt</w:t>
      </w:r>
      <w:r>
        <w:t xml:space="preserve">), never by staff, and deliberately not folded into </w:t>
      </w:r>
      <w:r>
        <w:rPr>
          <w:rFonts w:ascii="Consolas" w:hAnsi="Consolas"/>
          <w:sz w:val="20"/>
        </w:rPr>
        <w:t>OrderStatus</w:t>
      </w:r>
      <w:r>
        <w:t>: it's a signal layered on top of the staff-owned fulfillment pipeline (</w:t>
      </w:r>
      <w:r>
        <w:rPr>
          <w:rFonts w:ascii="Consolas" w:hAnsi="Consolas"/>
          <w:sz w:val="20"/>
        </w:rPr>
        <w:t>status: DELIVERED</w:t>
      </w:r>
      <w:r>
        <w:t>), not another fulfillment stage, so a customer can still request a refund after confirming. The printable receipt only renders in full once both are true.</w:t>
      </w:r>
    </w:p>
    <w:p>
      <w:pPr>
        <w:pStyle w:val="Heading2"/>
      </w:pPr>
      <w:r>
        <w:t>Backup and restore</w:t>
      </w:r>
    </w:p>
    <w:p>
      <w:r>
        <w:rPr>
          <w:b/>
        </w:rPr>
        <w:t>Not implemented.</w:t>
      </w:r>
      <w:r>
        <w:t xml:space="preserve"> There is no scheduled backup job, no restore procedure, and no tested restore drill — see </w:t>
      </w:r>
      <w:hyperlink r:id="rId13">
        <w:r>
          <w:rPr>
            <w:color w:val="0563C1"/>
            <w:u w:val="single"/>
          </w:rPr>
          <w:t xml:space="preserve">`15-disaster-recovery.md`</w:t>
        </w:r>
      </w:hyperlink>
      <w:r>
        <w:t xml:space="preserve"> for the recommended </w:t>
      </w:r>
      <w:r>
        <w:rPr>
          <w:rFonts w:ascii="Consolas" w:hAnsi="Consolas"/>
          <w:sz w:val="20"/>
        </w:rPr>
        <w:t>pg_dump</w:t>
      </w:r>
      <w:r>
        <w:t>-based starting point and why the template's Borg/borgmatic approach is oversized for ChrisPa's current single-database footprint.</w:t>
      </w:r>
    </w:p>
    <w:p>
      <w:pPr>
        <w:pStyle w:val="Heading2"/>
      </w:pPr>
      <w:r>
        <w:t>Monitoring</w:t>
      </w:r>
    </w:p>
    <w:p>
      <w:r>
        <w:rPr>
          <w:b/>
        </w:rPr>
        <w:t>Not implemented.</w:t>
      </w:r>
      <w:r>
        <w:t xml:space="preserve"> No connection-count, disk-usage, slow-query, or replication monitoring exists — see </w:t>
      </w:r>
      <w:hyperlink r:id="rId14">
        <w:r>
          <w:rPr>
            <w:color w:val="0563C1"/>
            <w:u w:val="single"/>
          </w:rPr>
          <w:t xml:space="preserve">`12-observability-and-monitoring.md`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22-entity-relationship-diagram.docx" TargetMode="External"/><Relationship Id="rId10" Type="http://schemas.openxmlformats.org/officeDocument/2006/relationships/hyperlink" Target="./23-data-dictionary.docx" TargetMode="External"/><Relationship Id="rId11" Type="http://schemas.openxmlformats.org/officeDocument/2006/relationships/hyperlink" Target="./07-authentication-and-authorization.docx" TargetMode="External"/><Relationship Id="rId12" Type="http://schemas.openxmlformats.org/officeDocument/2006/relationships/hyperlink" Target="./16-user-and-administrator-procedures.docx" TargetMode="External"/><Relationship Id="rId13" Type="http://schemas.openxmlformats.org/officeDocument/2006/relationships/hyperlink" Target="./15-disaster-recovery.docx" TargetMode="External"/><Relationship Id="rId14" Type="http://schemas.openxmlformats.org/officeDocument/2006/relationships/hyperlink" Target="./12-observability-and-monitoring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03. Database Design — PostgreSQL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