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04. Backend Development — Node.js (NestJS)</w:t>
      </w:r>
    </w:p>
    <w:p>
      <w:r>
        <w:t>Adapts template §8.</w:t>
      </w:r>
    </w:p>
    <w:p>
      <w:pPr>
        <w:pStyle w:val="Heading2"/>
      </w:pPr>
      <w:r>
        <w:t>Runtime and framework</w:t>
      </w:r>
    </w:p>
    <w:p>
      <w:pPr>
        <w:pStyle w:val="ListBullet"/>
      </w:pPr>
      <w:r>
        <w:rPr>
          <w:b/>
        </w:rPr>
        <w:t>Node.js</w:t>
      </w:r>
      <w:r>
        <w:t xml:space="preserve">: no </w:t>
      </w:r>
      <w:r>
        <w:rPr>
          <w:rFonts w:ascii="Consolas" w:hAnsi="Consolas"/>
          <w:sz w:val="20"/>
        </w:rPr>
        <w:t>.nvmrc</w:t>
      </w:r>
      <w:r>
        <w:t>/</w:t>
      </w:r>
      <w:r>
        <w:rPr>
          <w:rFonts w:ascii="Consolas" w:hAnsi="Consolas"/>
          <w:sz w:val="20"/>
        </w:rPr>
        <w:t>engines</w:t>
      </w:r>
      <w:r>
        <w:t xml:space="preserve"> field pins an LTS version in </w:t>
      </w:r>
      <w:r>
        <w:rPr>
          <w:rFonts w:ascii="Consolas" w:hAnsi="Consolas"/>
          <w:sz w:val="20"/>
        </w:rPr>
        <w:t>apps/api/package.json</w:t>
      </w:r>
      <w:r>
        <w:t xml:space="preserve"> today — the template's "use a supported LTS Node.js release" is a practice to formalize (add an </w:t>
      </w:r>
      <w:r>
        <w:rPr>
          <w:rFonts w:ascii="Consolas" w:hAnsi="Consolas"/>
          <w:sz w:val="20"/>
        </w:rPr>
        <w:t>engines.node</w:t>
      </w:r>
      <w:r>
        <w:t xml:space="preserve"> field and/or </w:t>
      </w:r>
      <w:r>
        <w:rPr>
          <w:rFonts w:ascii="Consolas" w:hAnsi="Consolas"/>
          <w:sz w:val="20"/>
        </w:rPr>
        <w:t>.nvmrc</w:t>
      </w:r>
      <w:r>
        <w:t>), not yet enforced.</w:t>
      </w:r>
    </w:p>
    <w:p>
      <w:pPr>
        <w:pStyle w:val="ListBullet"/>
      </w:pPr>
      <w:r>
        <w:rPr>
          <w:b/>
        </w:rPr>
        <w:t>Framework</w:t>
      </w:r>
      <w:r>
        <w:t xml:space="preserve">: NestJS 11 on the </w:t>
      </w:r>
      <w:r>
        <w:rPr>
          <w:b/>
        </w:rPr>
        <w:t>Fastify</w:t>
      </w:r>
      <w:r>
        <w:t xml:space="preserve"> adapter (</w:t>
      </w:r>
      <w:r>
        <w:rPr>
          <w:rFonts w:ascii="Consolas" w:hAnsi="Consolas"/>
          <w:sz w:val="20"/>
        </w:rPr>
        <w:t>@nestjs/platform-fastify</w:t>
      </w:r>
      <w:r>
        <w:t>), not the default Express adapter — chosen for throughput; this means Express-specific middleware/examples don't apply directly.</w:t>
      </w:r>
    </w:p>
    <w:p>
      <w:pPr>
        <w:pStyle w:val="ListBullet"/>
      </w:pPr>
      <w:r>
        <w:rPr>
          <w:b/>
        </w:rPr>
        <w:t>Entry point</w:t>
      </w:r>
      <w:r>
        <w:t xml:space="preserve">: </w:t>
      </w:r>
      <w:r>
        <w:rPr>
          <w:rFonts w:ascii="Consolas" w:hAnsi="Consolas"/>
          <w:sz w:val="20"/>
        </w:rPr>
        <w:t>apps/api/src/main.ts</w:t>
      </w:r>
      <w:r>
        <w:t xml:space="preserve"> — global prefix </w:t>
      </w:r>
      <w:r>
        <w:rPr>
          <w:rFonts w:ascii="Consolas" w:hAnsi="Consolas"/>
          <w:sz w:val="20"/>
        </w:rPr>
        <w:t>api/v1</w:t>
      </w:r>
      <w:r>
        <w:t xml:space="preserve">, global </w:t>
      </w:r>
      <w:r>
        <w:rPr>
          <w:rFonts w:ascii="Consolas" w:hAnsi="Consolas"/>
          <w:sz w:val="20"/>
        </w:rPr>
        <w:t>ValidationPipe</w:t>
      </w:r>
      <w:r>
        <w:t xml:space="preserve"> (</w:t>
      </w:r>
      <w:r>
        <w:rPr>
          <w:rFonts w:ascii="Consolas" w:hAnsi="Consolas"/>
          <w:sz w:val="20"/>
        </w:rPr>
        <w:t>whitelist: true, transform: true, forbidNonWhitelisted: true</w:t>
      </w:r>
      <w:r>
        <w:t xml:space="preserve">), explicit CORS with all methods listed (Fastify's CORS plugin defaults to </w:t>
      </w:r>
      <w:r>
        <w:rPr>
          <w:rFonts w:ascii="Consolas" w:hAnsi="Consolas"/>
          <w:sz w:val="20"/>
        </w:rPr>
        <w:t>GET,HEAD,POST</w:t>
      </w:r>
      <w:r>
        <w:t xml:space="preserve"> only, which would otherwise fail every </w:t>
      </w:r>
      <w:r>
        <w:rPr>
          <w:rFonts w:ascii="Consolas" w:hAnsi="Consolas"/>
          <w:sz w:val="20"/>
        </w:rPr>
        <w:t>PATCH</w:t>
      </w:r>
      <w:r>
        <w:t>/</w:t>
      </w:r>
      <w:r>
        <w:rPr>
          <w:rFonts w:ascii="Consolas" w:hAnsi="Consolas"/>
          <w:sz w:val="20"/>
        </w:rPr>
        <w:t>PUT</w:t>
      </w:r>
      <w:r>
        <w:t>/</w:t>
      </w:r>
      <w:r>
        <w:rPr>
          <w:rFonts w:ascii="Consolas" w:hAnsi="Consolas"/>
          <w:sz w:val="20"/>
        </w:rPr>
        <w:t>DELETE</w:t>
      </w:r>
      <w:r>
        <w:t xml:space="preserve"> preflight app-wide), and local-disk static file serving for uploads (</w:t>
      </w:r>
      <w:r>
        <w:rPr>
          <w:rFonts w:ascii="Consolas" w:hAnsi="Consolas"/>
          <w:sz w:val="20"/>
        </w:rPr>
        <w:t>apps/api/uploads/</w:t>
      </w:r>
      <w:r>
        <w:t>, 5MB cap) — no object storage/CDN integration exists yet.</w:t>
      </w:r>
    </w:p>
    <w:p>
      <w:pPr>
        <w:pStyle w:val="Heading2"/>
      </w:pPr>
      <w:r>
        <w:t>Dependency management</w:t>
      </w:r>
    </w:p>
    <w:p>
      <w:pPr>
        <w:pStyle w:val="ListBullet"/>
      </w:pPr>
      <w:r>
        <w:rPr>
          <w:b/>
        </w:rPr>
        <w:t>Pinned via lockfile</w:t>
      </w:r>
      <w:r>
        <w:t xml:space="preserve">: </w:t>
      </w:r>
      <w:r>
        <w:rPr>
          <w:rFonts w:ascii="Consolas" w:hAnsi="Consolas"/>
          <w:sz w:val="20"/>
        </w:rPr>
        <w:t>package-lock.json</w:t>
      </w:r>
      <w:r>
        <w:t xml:space="preserve"> at the repo root (npm workspaces) — the template's "pin dependency versions through the package lock file" is satisfied.</w:t>
      </w:r>
    </w:p>
    <w:p>
      <w:pPr>
        <w:pStyle w:val="ListBullet"/>
      </w:pPr>
      <w:r>
        <w:t xml:space="preserve">Newly-added packages with install scripts require the environment's </w:t>
      </w:r>
      <w:r>
        <w:rPr>
          <w:rFonts w:ascii="Consolas" w:hAnsi="Consolas"/>
          <w:sz w:val="20"/>
        </w:rPr>
        <w:t>npm approve-scripts</w:t>
      </w:r>
      <w:r>
        <w:t xml:space="preserve"> gate (</w:t>
      </w:r>
      <w:r>
        <w:rPr>
          <w:rFonts w:ascii="Consolas" w:hAnsi="Consolas"/>
          <w:sz w:val="20"/>
        </w:rPr>
        <w:t>@prisma/client</w:t>
      </w:r>
      <w:r>
        <w:t xml:space="preserve">, </w:t>
      </w:r>
      <w:r>
        <w:rPr>
          <w:rFonts w:ascii="Consolas" w:hAnsi="Consolas"/>
          <w:sz w:val="20"/>
        </w:rPr>
        <w:t>@prisma/engines</w:t>
      </w:r>
      <w:r>
        <w:t xml:space="preserve">, </w:t>
      </w:r>
      <w:r>
        <w:rPr>
          <w:rFonts w:ascii="Consolas" w:hAnsi="Consolas"/>
          <w:sz w:val="20"/>
        </w:rPr>
        <w:t>prisma</w:t>
      </w:r>
      <w:r>
        <w:t xml:space="preserve">, </w:t>
      </w:r>
      <w:r>
        <w:rPr>
          <w:rFonts w:ascii="Consolas" w:hAnsi="Consolas"/>
          <w:sz w:val="20"/>
        </w:rPr>
        <w:t>unrs-resolver</w:t>
      </w:r>
      <w:r>
        <w:t xml:space="preserve"> are currently approved) — run </w:t>
      </w:r>
      <w:r>
        <w:rPr>
          <w:rFonts w:ascii="Consolas" w:hAnsi="Consolas"/>
          <w:sz w:val="20"/>
        </w:rPr>
        <w:t>npm approve-scripts &lt;pkg&gt;</w:t>
      </w:r>
      <w:r>
        <w:t xml:space="preserve"> then reinstall for any newly-flagged package.</w:t>
      </w:r>
    </w:p>
    <w:p>
      <w:pPr>
        <w:pStyle w:val="Heading2"/>
      </w:pPr>
      <w:r>
        <w:t>Configuration</w:t>
      </w:r>
    </w:p>
    <w:p>
      <w:pPr>
        <w:pStyle w:val="ListBullet"/>
      </w:pPr>
      <w:r>
        <w:t xml:space="preserve">Configuration is separated from source via </w:t>
      </w:r>
      <w:r>
        <w:rPr>
          <w:rFonts w:ascii="Consolas" w:hAnsi="Consolas"/>
          <w:sz w:val="20"/>
        </w:rPr>
        <w:t>@nestjs/config</w:t>
      </w:r>
      <w:r>
        <w:t xml:space="preserve"> + a </w:t>
      </w:r>
      <w:r>
        <w:rPr>
          <w:rFonts w:ascii="Consolas" w:hAnsi="Consolas"/>
          <w:sz w:val="20"/>
        </w:rPr>
        <w:t>.env</w:t>
      </w:r>
      <w:r>
        <w:t xml:space="preserve"> file (</w:t>
      </w:r>
      <w:r>
        <w:rPr>
          <w:rFonts w:ascii="Consolas" w:hAnsi="Consolas"/>
          <w:sz w:val="20"/>
        </w:rPr>
        <w:t>apps/api/.env</w:t>
      </w:r>
      <w:r>
        <w:t xml:space="preserve">, gitignored; </w:t>
      </w:r>
      <w:r>
        <w:rPr>
          <w:rFonts w:ascii="Consolas" w:hAnsi="Consolas"/>
          <w:sz w:val="20"/>
        </w:rPr>
        <w:t>apps/api/.env.example</w:t>
      </w:r>
      <w:r>
        <w:t xml:space="preserve"> documents the required keys: </w:t>
      </w:r>
      <w:r>
        <w:rPr>
          <w:rFonts w:ascii="Consolas" w:hAnsi="Consolas"/>
          <w:sz w:val="20"/>
        </w:rPr>
        <w:t>PORT</w:t>
      </w:r>
      <w:r>
        <w:t xml:space="preserve">, </w:t>
      </w:r>
      <w:r>
        <w:rPr>
          <w:rFonts w:ascii="Consolas" w:hAnsi="Consolas"/>
          <w:sz w:val="20"/>
        </w:rPr>
        <w:t>DATABASE_URL</w:t>
      </w:r>
      <w:r>
        <w:t xml:space="preserve">, </w:t>
      </w:r>
      <w:r>
        <w:rPr>
          <w:rFonts w:ascii="Consolas" w:hAnsi="Consolas"/>
          <w:sz w:val="20"/>
        </w:rPr>
        <w:t>REDIS_URL</w:t>
      </w:r>
      <w:r>
        <w:t xml:space="preserve">, </w:t>
      </w:r>
      <w:r>
        <w:rPr>
          <w:rFonts w:ascii="Consolas" w:hAnsi="Consolas"/>
          <w:sz w:val="20"/>
        </w:rPr>
        <w:t>JWT_ACCESS_SECRET</w:t>
      </w:r>
      <w:r>
        <w:t>/</w:t>
      </w:r>
      <w:r>
        <w:rPr>
          <w:rFonts w:ascii="Consolas" w:hAnsi="Consolas"/>
          <w:sz w:val="20"/>
        </w:rPr>
        <w:t>JWT_ACCESS_TTL</w:t>
      </w:r>
      <w:r>
        <w:t xml:space="preserve">, </w:t>
      </w:r>
      <w:r>
        <w:rPr>
          <w:rFonts w:ascii="Consolas" w:hAnsi="Consolas"/>
          <w:sz w:val="20"/>
        </w:rPr>
        <w:t>JWT_REFRESH_SECRET</w:t>
      </w:r>
      <w:r>
        <w:t>/</w:t>
      </w:r>
      <w:r>
        <w:rPr>
          <w:rFonts w:ascii="Consolas" w:hAnsi="Consolas"/>
          <w:sz w:val="20"/>
        </w:rPr>
        <w:t>JWT_REFRESH_TTL_DAYS</w:t>
      </w:r>
      <w:r>
        <w:t xml:space="preserve">, </w:t>
      </w:r>
      <w:r>
        <w:rPr>
          <w:rFonts w:ascii="Consolas" w:hAnsi="Consolas"/>
          <w:sz w:val="20"/>
        </w:rPr>
        <w:t>JWT_MFA_CHALLENGE_SECRET</w:t>
      </w:r>
      <w:r>
        <w:t xml:space="preserve">, </w:t>
      </w:r>
      <w:r>
        <w:rPr>
          <w:rFonts w:ascii="Consolas" w:hAnsi="Consolas"/>
          <w:sz w:val="20"/>
        </w:rPr>
        <w:t>TOTP_ENCRYPTION_KEY</w:t>
      </w:r>
      <w:r>
        <w:t xml:space="preserve">, </w:t>
      </w:r>
      <w:r>
        <w:rPr>
          <w:rFonts w:ascii="Consolas" w:hAnsi="Consolas"/>
          <w:sz w:val="20"/>
        </w:rPr>
        <w:t>CORS_ORIGINS</w:t>
      </w:r>
      <w:r>
        <w:t>).</w:t>
      </w:r>
    </w:p>
    <w:p>
      <w:pPr>
        <w:pStyle w:val="ListBullet"/>
      </w:pPr>
      <w:r>
        <w:t xml:space="preserve">This satisfies the template's "separate application configuration from source code" and "use environment variables… for deployment-time configuration" — there is no managed-secret mechanism (Vault, cloud secrets manager) yet, appropriate for a single local environment but a gap before any shared/production deployment (see </w:t>
      </w:r>
      <w:hyperlink r:id="rId9">
        <w:r>
          <w:rPr>
            <w:color w:val="0563C1"/>
            <w:u w:val="single"/>
          </w:rPr>
          <w:t xml:space="preserve">`10-security-architecture.md`</w:t>
        </w:r>
      </w:hyperlink>
      <w:r>
        <w:t>).</w:t>
      </w:r>
    </w:p>
    <w:p>
      <w:pPr>
        <w:pStyle w:val="Heading2"/>
      </w:pPr>
      <w:r>
        <w:t>Module layout</w:t>
      </w:r>
    </w:p>
    <w:p>
      <w:r>
        <w:rPr>
          <w:rFonts w:ascii="Consolas" w:hAnsi="Consolas"/>
          <w:sz w:val="20"/>
        </w:rPr>
        <w:t>apps/api/src/modules/*</w:t>
      </w:r>
      <w:r>
        <w:t xml:space="preserve"> — each is a self-contained Nest module (controller + service, sometimes </w:t>
      </w:r>
      <w:r>
        <w:rPr>
          <w:rFonts w:ascii="Consolas" w:hAnsi="Consolas"/>
          <w:sz w:val="20"/>
        </w:rPr>
        <w:t>dto/</w:t>
      </w:r>
      <w:r>
        <w:t>):</w:t>
      </w:r>
    </w:p>
    <w:p>
      <w:r>
        <w:rPr>
          <w:rFonts w:ascii="Consolas" w:hAnsi="Consolas"/>
          <w:sz w:val="20"/>
        </w:rPr>
        <w:t>account-notifications</w:t>
      </w:r>
      <w:r>
        <w:t xml:space="preserve">, </w:t>
      </w:r>
      <w:r>
        <w:rPr>
          <w:rFonts w:ascii="Consolas" w:hAnsi="Consolas"/>
          <w:sz w:val="20"/>
        </w:rPr>
        <w:t>account-settings</w:t>
      </w:r>
      <w:r>
        <w:t xml:space="preserve">, </w:t>
      </w:r>
      <w:r>
        <w:rPr>
          <w:rFonts w:ascii="Consolas" w:hAnsi="Consolas"/>
          <w:sz w:val="20"/>
        </w:rPr>
        <w:t>addresses</w:t>
      </w:r>
      <w:r>
        <w:t xml:space="preserve">, </w:t>
      </w:r>
      <w:r>
        <w:rPr>
          <w:rFonts w:ascii="Consolas" w:hAnsi="Consolas"/>
          <w:sz w:val="20"/>
        </w:rPr>
        <w:t>admin-users</w:t>
      </w:r>
      <w:r>
        <w:t xml:space="preserve">, </w:t>
      </w:r>
      <w:r>
        <w:rPr>
          <w:rFonts w:ascii="Consolas" w:hAnsi="Consolas"/>
          <w:sz w:val="20"/>
        </w:rPr>
        <w:t>auth</w:t>
      </w:r>
      <w:r>
        <w:t xml:space="preserve">, </w:t>
      </w:r>
      <w:r>
        <w:rPr>
          <w:rFonts w:ascii="Consolas" w:hAnsi="Consolas"/>
          <w:sz w:val="20"/>
        </w:rPr>
        <w:t>cart</w:t>
      </w:r>
      <w:r>
        <w:t xml:space="preserve">, </w:t>
      </w:r>
      <w:r>
        <w:rPr>
          <w:rFonts w:ascii="Consolas" w:hAnsi="Consolas"/>
          <w:sz w:val="20"/>
        </w:rPr>
        <w:t>catalog</w:t>
      </w:r>
      <w:r>
        <w:t xml:space="preserve">, </w:t>
      </w:r>
      <w:r>
        <w:rPr>
          <w:rFonts w:ascii="Consolas" w:hAnsi="Consolas"/>
          <w:sz w:val="20"/>
        </w:rPr>
        <w:t>chat</w:t>
      </w:r>
      <w:r>
        <w:t xml:space="preserve">, </w:t>
      </w:r>
      <w:r>
        <w:rPr>
          <w:rFonts w:ascii="Consolas" w:hAnsi="Consolas"/>
          <w:sz w:val="20"/>
        </w:rPr>
        <w:t>checkout</w:t>
      </w:r>
      <w:r>
        <w:t xml:space="preserve">, </w:t>
      </w:r>
      <w:r>
        <w:rPr>
          <w:rFonts w:ascii="Consolas" w:hAnsi="Consolas"/>
          <w:sz w:val="20"/>
        </w:rPr>
        <w:t>cms</w:t>
      </w:r>
      <w:r>
        <w:t xml:space="preserve">, </w:t>
      </w:r>
      <w:r>
        <w:rPr>
          <w:rFonts w:ascii="Consolas" w:hAnsi="Consolas"/>
          <w:sz w:val="20"/>
        </w:rPr>
        <w:t>crm</w:t>
      </w:r>
      <w:r>
        <w:t xml:space="preserve">, </w:t>
      </w:r>
      <w:r>
        <w:rPr>
          <w:rFonts w:ascii="Consolas" w:hAnsi="Consolas"/>
          <w:sz w:val="20"/>
        </w:rPr>
        <w:t>delivery</w:t>
      </w:r>
      <w:r>
        <w:t xml:space="preserve">, </w:t>
      </w:r>
      <w:r>
        <w:rPr>
          <w:rFonts w:ascii="Consolas" w:hAnsi="Consolas"/>
          <w:sz w:val="20"/>
        </w:rPr>
        <w:t>finance</w:t>
      </w:r>
      <w:r>
        <w:t xml:space="preserve">, </w:t>
      </w:r>
      <w:r>
        <w:rPr>
          <w:rFonts w:ascii="Consolas" w:hAnsi="Consolas"/>
          <w:sz w:val="20"/>
        </w:rPr>
        <w:t>health</w:t>
      </w:r>
      <w:r>
        <w:t xml:space="preserve">, </w:t>
      </w:r>
      <w:r>
        <w:rPr>
          <w:rFonts w:ascii="Consolas" w:hAnsi="Consolas"/>
          <w:sz w:val="20"/>
        </w:rPr>
        <w:t>hr</w:t>
      </w:r>
      <w:r>
        <w:t xml:space="preserve">, </w:t>
      </w:r>
      <w:r>
        <w:rPr>
          <w:rFonts w:ascii="Consolas" w:hAnsi="Consolas"/>
          <w:sz w:val="20"/>
        </w:rPr>
        <w:t>inventory</w:t>
      </w:r>
      <w:r>
        <w:t xml:space="preserve">, </w:t>
      </w:r>
      <w:r>
        <w:rPr>
          <w:rFonts w:ascii="Consolas" w:hAnsi="Consolas"/>
          <w:sz w:val="20"/>
        </w:rPr>
        <w:t>loyalty</w:t>
      </w:r>
      <w:r>
        <w:t xml:space="preserve">, </w:t>
      </w:r>
      <w:r>
        <w:rPr>
          <w:rFonts w:ascii="Consolas" w:hAnsi="Consolas"/>
          <w:sz w:val="20"/>
        </w:rPr>
        <w:t>marketing</w:t>
      </w:r>
      <w:r>
        <w:t xml:space="preserve">, </w:t>
      </w:r>
      <w:r>
        <w:rPr>
          <w:rFonts w:ascii="Consolas" w:hAnsi="Consolas"/>
          <w:sz w:val="20"/>
        </w:rPr>
        <w:t>marketplace</w:t>
      </w:r>
      <w:r>
        <w:t xml:space="preserve">, </w:t>
      </w:r>
      <w:r>
        <w:rPr>
          <w:rFonts w:ascii="Consolas" w:hAnsi="Consolas"/>
          <w:sz w:val="20"/>
        </w:rPr>
        <w:t>orders</w:t>
      </w:r>
      <w:r>
        <w:t xml:space="preserve">, </w:t>
      </w:r>
      <w:r>
        <w:rPr>
          <w:rFonts w:ascii="Consolas" w:hAnsi="Consolas"/>
          <w:sz w:val="20"/>
        </w:rPr>
        <w:t>payment-methods</w:t>
      </w:r>
      <w:r>
        <w:t xml:space="preserve">, </w:t>
      </w:r>
      <w:r>
        <w:rPr>
          <w:rFonts w:ascii="Consolas" w:hAnsi="Consolas"/>
          <w:sz w:val="20"/>
        </w:rPr>
        <w:t>payments</w:t>
      </w:r>
      <w:r>
        <w:t xml:space="preserve">, </w:t>
      </w:r>
      <w:r>
        <w:rPr>
          <w:rFonts w:ascii="Consolas" w:hAnsi="Consolas"/>
          <w:sz w:val="20"/>
        </w:rPr>
        <w:t>profile</w:t>
      </w:r>
      <w:r>
        <w:t xml:space="preserve">, </w:t>
      </w:r>
      <w:r>
        <w:rPr>
          <w:rFonts w:ascii="Consolas" w:hAnsi="Consolas"/>
          <w:sz w:val="20"/>
        </w:rPr>
        <w:t>shipping</w:t>
      </w:r>
      <w:r>
        <w:t xml:space="preserve">, </w:t>
      </w:r>
      <w:r>
        <w:rPr>
          <w:rFonts w:ascii="Consolas" w:hAnsi="Consolas"/>
          <w:sz w:val="20"/>
        </w:rPr>
        <w:t>support</w:t>
      </w:r>
      <w:r>
        <w:t xml:space="preserve">, </w:t>
      </w:r>
      <w:r>
        <w:rPr>
          <w:rFonts w:ascii="Consolas" w:hAnsi="Consolas"/>
          <w:sz w:val="20"/>
        </w:rPr>
        <w:t>wishlist</w:t>
      </w:r>
      <w:r>
        <w:t>.</w:t>
      </w:r>
    </w:p>
    <w:p>
      <w:r>
        <w:t xml:space="preserve">Most mirror the SRS's FR groups directly; </w:t>
      </w:r>
      <w:r>
        <w:rPr>
          <w:rFonts w:ascii="Consolas" w:hAnsi="Consolas"/>
          <w:sz w:val="20"/>
        </w:rPr>
        <w:t>hr</w:t>
      </w:r>
      <w:r>
        <w:t xml:space="preserve"> is a later, separately-scoped addition (see </w:t>
      </w:r>
      <w:r>
        <w:rPr>
          <w:rFonts w:ascii="Consolas" w:hAnsi="Consolas"/>
          <w:sz w:val="20"/>
        </w:rPr>
        <w:t>docs/SRS.md</w:t>
      </w:r>
      <w:r>
        <w:t xml:space="preserve"> §18). </w:t>
      </w:r>
      <w:r>
        <w:rPr>
          <w:rFonts w:ascii="Consolas" w:hAnsi="Consolas"/>
          <w:sz w:val="20"/>
        </w:rPr>
        <w:t>health</w:t>
      </w:r>
      <w:r>
        <w:t xml:space="preserve">, </w:t>
      </w:r>
      <w:r>
        <w:rPr>
          <w:rFonts w:ascii="Consolas" w:hAnsi="Consolas"/>
          <w:sz w:val="20"/>
        </w:rPr>
        <w:t>profile</w:t>
      </w:r>
      <w:r>
        <w:t xml:space="preserve">, </w:t>
      </w:r>
      <w:r>
        <w:rPr>
          <w:rFonts w:ascii="Consolas" w:hAnsi="Consolas"/>
          <w:sz w:val="20"/>
        </w:rPr>
        <w:t>account-settings</w:t>
      </w:r>
      <w:r>
        <w:t xml:space="preserve">, and </w:t>
      </w:r>
      <w:r>
        <w:rPr>
          <w:rFonts w:ascii="Consolas" w:hAnsi="Consolas"/>
          <w:sz w:val="20"/>
        </w:rPr>
        <w:t>account-notifications</w:t>
      </w:r>
      <w:r>
        <w:t xml:space="preserve"> are infrastructure/account-management modules with no dedicated FR group. </w:t>
      </w:r>
      <w:r>
        <w:rPr>
          <w:rFonts w:ascii="Consolas" w:hAnsi="Consolas"/>
          <w:sz w:val="20"/>
        </w:rPr>
        <w:t>finance</w:t>
      </w:r>
      <w:r>
        <w:t xml:space="preserve">, </w:t>
      </w:r>
      <w:r>
        <w:rPr>
          <w:rFonts w:ascii="Consolas" w:hAnsi="Consolas"/>
          <w:sz w:val="20"/>
        </w:rPr>
        <w:t>marketplace</w:t>
      </w:r>
      <w:r>
        <w:t xml:space="preserve">, </w:t>
      </w:r>
      <w:r>
        <w:rPr>
          <w:rFonts w:ascii="Consolas" w:hAnsi="Consolas"/>
          <w:sz w:val="20"/>
        </w:rPr>
        <w:t>payments</w:t>
      </w:r>
      <w:r>
        <w:t xml:space="preserve">, and </w:t>
      </w:r>
      <w:r>
        <w:rPr>
          <w:rFonts w:ascii="Consolas" w:hAnsi="Consolas"/>
          <w:sz w:val="20"/>
        </w:rPr>
        <w:t>chat</w:t>
      </w:r>
      <w:r>
        <w:t xml:space="preserve"> are later additions covering multi-entity accounting, the vendor marketplace, Flutterwave payments, and the "ChrisPa Agent" FAQ bot respectively.</w:t>
      </w:r>
    </w:p>
    <w:p>
      <w:pPr>
        <w:pStyle w:val="Heading2"/>
      </w:pPr>
      <w:r>
        <w:t>Logging</w:t>
      </w:r>
    </w:p>
    <w:p>
      <w:r>
        <w:rPr>
          <w:b/>
        </w:rPr>
        <w:t>Structured logging is not implemented.</w:t>
      </w:r>
      <w:r>
        <w:t xml:space="preserve"> The application currently relies on Nest's default console logger plus ad-hoc </w:t>
      </w:r>
      <w:r>
        <w:rPr>
          <w:rFonts w:ascii="Consolas" w:hAnsi="Consolas"/>
          <w:sz w:val="20"/>
        </w:rPr>
        <w:t>console.log</w:t>
      </w:r>
      <w:r>
        <w:t>/</w:t>
      </w:r>
      <w:r>
        <w:rPr>
          <w:rFonts w:ascii="Consolas" w:hAnsi="Consolas"/>
          <w:sz w:val="20"/>
        </w:rPr>
        <w:t>console.error</w:t>
      </w:r>
      <w:r>
        <w:t xml:space="preserve"> (e.g. the startup banner in </w:t>
      </w:r>
      <w:r>
        <w:rPr>
          <w:rFonts w:ascii="Consolas" w:hAnsi="Consolas"/>
          <w:sz w:val="20"/>
        </w:rPr>
        <w:t>main.ts</w:t>
      </w:r>
      <w:r>
        <w:t xml:space="preserve">) — there is no JSON-structured log format, no request/correlation ID propagation, and no log shipping. This is the template §8 requirement ("implement structured logging…") that is the largest concrete gap in this document; see </w:t>
      </w:r>
      <w:hyperlink r:id="rId10">
        <w:r>
          <w:rPr>
            <w:color w:val="0563C1"/>
            <w:u w:val="single"/>
          </w:rPr>
          <w:t xml:space="preserve">`12-observability-and-monitoring.md`</w:t>
        </w:r>
      </w:hyperlink>
      <w:r>
        <w:t xml:space="preserve"> for the recommended minimal starting point.</w:t>
      </w:r>
    </w:p>
    <w:p>
      <w:pPr>
        <w:pStyle w:val="Heading2"/>
      </w:pPr>
      <w:r>
        <w:t>Health endpoints</w:t>
      </w:r>
    </w:p>
    <w:p>
      <w:r>
        <w:rPr>
          <w:rFonts w:ascii="Consolas" w:hAnsi="Consolas"/>
          <w:sz w:val="20"/>
        </w:rPr>
        <w:t>GET /api/v1/health</w:t>
      </w:r>
      <w:r>
        <w:t xml:space="preserve"> (</w:t>
      </w:r>
      <w:r>
        <w:rPr>
          <w:rFonts w:ascii="Consolas" w:hAnsi="Consolas"/>
          <w:sz w:val="20"/>
        </w:rPr>
        <w:t>apps/api/src/modules/health/health.controller.ts</w:t>
      </w:r>
      <w:r>
        <w:t xml:space="preserve">) runs </w:t>
      </w:r>
      <w:r>
        <w:rPr>
          <w:rFonts w:ascii="Consolas" w:hAnsi="Consolas"/>
          <w:sz w:val="20"/>
        </w:rPr>
        <w:t>SELECT 1</w:t>
      </w:r>
      <w:r>
        <w:t xml:space="preserve"> against Postgres and returns </w:t>
      </w:r>
      <w:r>
        <w:rPr>
          <w:rFonts w:ascii="Consolas" w:hAnsi="Consolas"/>
          <w:sz w:val="20"/>
        </w:rPr>
        <w:t>{ status: 'ok', timestamp }</w:t>
      </w:r>
      <w:r>
        <w:t xml:space="preserve"> — a real liveness/readiness check, satisfying the template's "implement… application health endpoints" for the one endpoint that exists. There is no separate readiness-vs-liveness split and no dependency check for Redis (Redis isn't yet used by application code — see </w:t>
      </w:r>
      <w:hyperlink r:id="rId11">
        <w:r>
          <w:rPr>
            <w:color w:val="0563C1"/>
            <w:u w:val="single"/>
          </w:rPr>
          <w:t xml:space="preserve">`02-system-architecture.md`</w:t>
        </w:r>
      </w:hyperlink>
      <w:r>
        <w:t>).</w:t>
      </w:r>
    </w:p>
    <w:p>
      <w:pPr>
        <w:pStyle w:val="Heading2"/>
      </w:pPr>
      <w:r>
        <w:t>Error handling</w:t>
      </w:r>
    </w:p>
    <w:p>
      <w:pPr>
        <w:pStyle w:val="ListBullet"/>
      </w:pPr>
      <w:r>
        <w:t xml:space="preserve">Nest's built-in exception filters convert thrown </w:t>
      </w:r>
      <w:r>
        <w:rPr>
          <w:rFonts w:ascii="Consolas" w:hAnsi="Consolas"/>
          <w:sz w:val="20"/>
        </w:rPr>
        <w:t>HttpException</w:t>
      </w:r>
      <w:r>
        <w:t xml:space="preserve"> subclasses (</w:t>
      </w:r>
      <w:r>
        <w:rPr>
          <w:rFonts w:ascii="Consolas" w:hAnsi="Consolas"/>
          <w:sz w:val="20"/>
        </w:rPr>
        <w:t>NotFoundException</w:t>
      </w:r>
      <w:r>
        <w:t xml:space="preserve">, </w:t>
      </w:r>
      <w:r>
        <w:rPr>
          <w:rFonts w:ascii="Consolas" w:hAnsi="Consolas"/>
          <w:sz w:val="20"/>
        </w:rPr>
        <w:t>ForbiddenException</w:t>
      </w:r>
      <w:r>
        <w:t xml:space="preserve">, </w:t>
      </w:r>
      <w:r>
        <w:rPr>
          <w:rFonts w:ascii="Consolas" w:hAnsi="Consolas"/>
          <w:sz w:val="20"/>
        </w:rPr>
        <w:t>BadRequestException</w:t>
      </w:r>
      <w:r>
        <w:t>, etc.) into JSON error responses without leaking stack traces — this satisfies "avoid exposing internal stack traces to end users" for the common path.</w:t>
      </w:r>
    </w:p>
    <w:p>
      <w:pPr>
        <w:pStyle w:val="ListBullet"/>
      </w:pPr>
      <w:r>
        <w:t>There is no custom global exception filter for centralized error logging/formatting beyond Nest's default — acceptable at current scale, worth revisiting once structured logging exists (so errors are captured with the same correlation metadata as everything else).</w:t>
      </w:r>
    </w:p>
    <w:p>
      <w:pPr>
        <w:pStyle w:val="Heading2"/>
      </w:pPr>
      <w:r>
        <w:t>Testing</w:t>
      </w:r>
    </w:p>
    <w:p>
      <w:pPr>
        <w:pStyle w:val="ListBullet"/>
      </w:pPr>
      <w:r>
        <w:t xml:space="preserve">Unit tests: </w:t>
      </w:r>
      <w:r>
        <w:rPr>
          <w:rFonts w:ascii="Consolas" w:hAnsi="Consolas"/>
          <w:sz w:val="20"/>
        </w:rPr>
        <w:t>jest</w:t>
      </w:r>
      <w:r>
        <w:t xml:space="preserve">, configured per-workspace in </w:t>
      </w:r>
      <w:r>
        <w:rPr>
          <w:rFonts w:ascii="Consolas" w:hAnsi="Consolas"/>
          <w:sz w:val="20"/>
        </w:rPr>
        <w:t>apps/api/package.json</w:t>
      </w:r>
      <w:r>
        <w:t xml:space="preserve"> (</w:t>
      </w:r>
      <w:r>
        <w:rPr>
          <w:rFonts w:ascii="Consolas" w:hAnsi="Consolas"/>
          <w:sz w:val="20"/>
        </w:rPr>
        <w:t>npm run test</w:t>
      </w:r>
      <w:r>
        <w:t xml:space="preserve">, </w:t>
      </w:r>
      <w:r>
        <w:rPr>
          <w:rFonts w:ascii="Consolas" w:hAnsi="Consolas"/>
          <w:sz w:val="20"/>
        </w:rPr>
        <w:t>npm run test:cov</w:t>
      </w:r>
      <w:r>
        <w:t>).</w:t>
      </w:r>
    </w:p>
    <w:p>
      <w:pPr>
        <w:pStyle w:val="ListBullet"/>
      </w:pPr>
      <w:r>
        <w:t xml:space="preserve">End-to-end tests: </w:t>
      </w:r>
      <w:r>
        <w:rPr>
          <w:rFonts w:ascii="Consolas" w:hAnsi="Consolas"/>
          <w:sz w:val="20"/>
        </w:rPr>
        <w:t>npm run test:e2e</w:t>
      </w:r>
      <w:r>
        <w:t xml:space="preserve"> (</w:t>
      </w:r>
      <w:r>
        <w:rPr>
          <w:rFonts w:ascii="Consolas" w:hAnsi="Consolas"/>
          <w:sz w:val="20"/>
        </w:rPr>
        <w:t>test/jest-e2e.json</w:t>
      </w:r>
      <w:r>
        <w:t>).</w:t>
      </w:r>
    </w:p>
    <w:p>
      <w:pPr>
        <w:pStyle w:val="ListBullet"/>
      </w:pPr>
      <w:r>
        <w:rPr>
          <w:b/>
        </w:rPr>
        <w:t>Not yet run in CI</w:t>
      </w:r>
      <w:r>
        <w:t xml:space="preserve"> — see </w:t>
      </w:r>
      <w:hyperlink r:id="rId12">
        <w:r>
          <w:rPr>
            <w:color w:val="0563C1"/>
            <w:u w:val="single"/>
          </w:rPr>
          <w:t xml:space="preserve">`08-source-code-management-and-cicd.md`</w:t>
        </w:r>
      </w:hyperlink>
      <w:r>
        <w:t>.</w:t>
      </w:r>
    </w:p>
    <w:p>
      <w:pPr>
        <w:pStyle w:val="Heading2"/>
      </w:pPr>
      <w:r>
        <w:t>Known partial/incomplete areas</w:t>
      </w:r>
    </w:p>
    <w:p>
      <w:r>
        <w:t xml:space="preserve">Per </w:t>
      </w:r>
      <w:r>
        <w:rPr>
          <w:rFonts w:ascii="Consolas" w:hAnsi="Consolas"/>
          <w:sz w:val="20"/>
        </w:rPr>
        <w:t>CLAUDE.md</w:t>
      </w:r>
      <w:r>
        <w:t xml:space="preserve">: most modules outside </w:t>
      </w:r>
      <w:r>
        <w:rPr>
          <w:rFonts w:ascii="Consolas" w:hAnsi="Consolas"/>
          <w:sz w:val="20"/>
        </w:rPr>
        <w:t>auth</w:t>
      </w:r>
      <w:r>
        <w:t xml:space="preserve">, </w:t>
      </w:r>
      <w:r>
        <w:rPr>
          <w:rFonts w:ascii="Consolas" w:hAnsi="Consolas"/>
          <w:sz w:val="20"/>
        </w:rPr>
        <w:t>checkout</w:t>
      </w:r>
      <w:r>
        <w:t xml:space="preserve">, admin product management, and admin order management implement only the straightforward read-side Prisma queries; business logic with real pending design decisions is intentionally deferred. Within </w:t>
      </w:r>
      <w:r>
        <w:rPr>
          <w:rFonts w:ascii="Consolas" w:hAnsi="Consolas"/>
          <w:sz w:val="20"/>
        </w:rPr>
        <w:t>auth</w:t>
      </w:r>
      <w:r>
        <w:t xml:space="preserve"> itself, registration OTP (email+SMS), Google sign-in, TOTP 2FA, and WebAuthn/biometric login are all fully built — the remaining </w:t>
      </w:r>
      <w:r>
        <w:rPr>
          <w:rFonts w:ascii="Consolas" w:hAnsi="Consolas"/>
          <w:sz w:val="20"/>
        </w:rPr>
        <w:t>auth</w:t>
      </w:r>
      <w:r>
        <w:t xml:space="preserve"> gaps are forgot-password, Facebook/Apple social login, admin invites, and OTP-as-login-credential (as opposed to OTP-as-registration-gate, which is done) — see </w:t>
      </w:r>
      <w:hyperlink r:id="rId13">
        <w:r>
          <w:rPr>
            <w:color w:val="0563C1"/>
            <w:u w:val="single"/>
          </w:rPr>
          <w:t xml:space="preserve">`07-authentication-and-authorization.md`</w:t>
        </w:r>
      </w:hyperlink>
      <w:r>
        <w:t xml:space="preserve"> for the current split. Each gap is marked in code with a comment pointing at the relevant SRS FR-ID — </w:t>
      </w:r>
      <w:r>
        <w:rPr>
          <w:rFonts w:ascii="Consolas" w:hAnsi="Consolas"/>
          <w:sz w:val="20"/>
        </w:rPr>
        <w:t>grep "follow-up work" apps/api/src</w:t>
      </w:r>
      <w:r>
        <w:t xml:space="preserve"> finds all of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10-security-architecture.docx" TargetMode="External"/><Relationship Id="rId10" Type="http://schemas.openxmlformats.org/officeDocument/2006/relationships/hyperlink" Target="./12-observability-and-monitoring.docx" TargetMode="External"/><Relationship Id="rId11" Type="http://schemas.openxmlformats.org/officeDocument/2006/relationships/hyperlink" Target="./02-system-architecture.docx" TargetMode="External"/><Relationship Id="rId12" Type="http://schemas.openxmlformats.org/officeDocument/2006/relationships/hyperlink" Target="./08-source-code-management-and-cicd.docx" TargetMode="External"/><Relationship Id="rId13" Type="http://schemas.openxmlformats.org/officeDocument/2006/relationships/hyperlink" Target="./07-authentication-and-authorizatio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04. Backend Development — Node.js (NestJS)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