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22. Entity Relationship Diagram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7e197b9</w:t>
      </w:r>
      <w:r>
        <w:t xml:space="preserve"> (2026-08-17), </w:t>
      </w:r>
      <w:r>
        <w:rPr>
          <w:rFonts w:ascii="Consolas" w:hAnsi="Consolas"/>
          <w:sz w:val="20"/>
        </w:rPr>
        <w:t>apps/api/prisma/schema.prisma</w:t>
      </w:r>
      <w:r>
        <w:t xml:space="preserve"> as of that commit — a point-in-time artifact, not auto-synced; re-generate by hand after schema changes. See </w:t>
      </w:r>
      <w:hyperlink r:id="rId9">
        <w:r>
          <w:rPr>
            <w:color w:val="0563C1"/>
            <w:u w:val="single"/>
          </w:rPr>
          <w:t xml:space="preserve">`03-database-design.md`</w:t>
        </w:r>
      </w:hyperlink>
      <w:r>
        <w:t xml:space="preserve"> for the narrative overview, and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 for full field-level detail.</w:t>
      </w:r>
    </w:p>
    <w:p>
      <w:r>
        <w:t xml:space="preserve">This schema has ~60 models — one diagram of all of them would be unreadable. Instead: </w:t>
      </w:r>
      <w:r>
        <w:rPr>
          <w:b/>
        </w:rPr>
        <w:t>one complete relationship table</w:t>
      </w:r>
      <w:r>
        <w:t xml:space="preserve"> below (every foreign key, one row each), then </w:t>
      </w:r>
      <w:r>
        <w:rPr>
          <w:b/>
        </w:rPr>
        <w:t>small ASCII diagrams per domain cluster</w:t>
      </w:r>
      <w:r>
        <w:t xml:space="preserve"> (same groupings as </w:t>
      </w:r>
      <w:r>
        <w:rPr>
          <w:rFonts w:ascii="Consolas" w:hAnsi="Consolas"/>
          <w:sz w:val="20"/>
        </w:rPr>
        <w:t>03-database-design.md</w:t>
      </w:r>
      <w:r>
        <w:t>'s schema-inventory table), each just legible enough to actually read.</w:t>
      </w:r>
    </w:p>
    <w:p>
      <w:pPr>
        <w:pStyle w:val="Heading2"/>
      </w:pPr>
      <w:r>
        <w:t>Conventions</w:t>
      </w:r>
    </w:p>
    <w:p>
      <w:pPr>
        <w:pStyle w:val="ListBullet"/>
      </w:pPr>
      <w:r>
        <w:t>Every model's primary key is a client-generated UUID (</w:t>
      </w:r>
      <w:r>
        <w:rPr>
          <w:rFonts w:ascii="Consolas" w:hAnsi="Consolas"/>
          <w:sz w:val="20"/>
        </w:rPr>
        <w:t>@id @default(uuid())</w:t>
      </w:r>
      <w:r>
        <w:t xml:space="preserve">) — no auto-increment integer IDs anywhere in this schema, per </w:t>
      </w:r>
      <w:r>
        <w:rPr>
          <w:rFonts w:ascii="Consolas" w:hAnsi="Consolas"/>
          <w:sz w:val="20"/>
        </w:rPr>
        <w:t>CLAUDE.md</w:t>
      </w:r>
      <w:r>
        <w:t>.</w:t>
      </w:r>
    </w:p>
    <w:p>
      <w:pPr>
        <w:pStyle w:val="ListBullet"/>
      </w:pPr>
      <w:r>
        <w:t xml:space="preserve">Cardinality: </w:t>
      </w:r>
      <w:r>
        <w:rPr>
          <w:rFonts w:ascii="Consolas" w:hAnsi="Consolas"/>
          <w:sz w:val="20"/>
        </w:rPr>
        <w:t>1:1</w:t>
      </w:r>
      <w:r>
        <w:t xml:space="preserve"> where the FK field also carries </w:t>
      </w:r>
      <w:r>
        <w:rPr>
          <w:rFonts w:ascii="Consolas" w:hAnsi="Consolas"/>
          <w:sz w:val="20"/>
        </w:rPr>
        <w:t>@unique</w:t>
      </w:r>
      <w:r>
        <w:t xml:space="preserve">, </w:t>
      </w:r>
      <w:r>
        <w:rPr>
          <w:rFonts w:ascii="Consolas" w:hAnsi="Consolas"/>
          <w:sz w:val="20"/>
        </w:rPr>
        <w:t>1:N</w:t>
      </w:r>
      <w:r>
        <w:t xml:space="preserve"> otherwise. No </w:t>
      </w:r>
      <w:r>
        <w:rPr>
          <w:rFonts w:ascii="Consolas" w:hAnsi="Consolas"/>
          <w:sz w:val="20"/>
        </w:rPr>
        <w:t>N:N</w:t>
      </w:r>
      <w:r>
        <w:t xml:space="preserve"> relations exist as true join tables with their own extra columns except </w:t>
      </w:r>
      <w:r>
        <w:rPr>
          <w:rFonts w:ascii="Consolas" w:hAnsi="Consolas"/>
          <w:sz w:val="20"/>
        </w:rPr>
        <w:t>ProductWellnessTag</w:t>
      </w:r>
      <w:r>
        <w:t xml:space="preserve"> (a plain many-to-many join); </w:t>
      </w:r>
      <w:r>
        <w:rPr>
          <w:rFonts w:ascii="Consolas" w:hAnsi="Consolas"/>
          <w:sz w:val="20"/>
        </w:rPr>
        <w:t>Bundle.productIds</w:t>
      </w:r>
      <w:r>
        <w:t xml:space="preserve"> is a scalar </w:t>
      </w:r>
      <w:r>
        <w:rPr>
          <w:rFonts w:ascii="Consolas" w:hAnsi="Consolas"/>
          <w:sz w:val="20"/>
        </w:rPr>
        <w:t>String[]</w:t>
      </w:r>
      <w:r>
        <w:t xml:space="preserve"> array of Product IDs instead of a join table — no referential integrity there, a deliberate simplification for a small, admin-curated feature (see </w:t>
      </w:r>
      <w:r>
        <w:rPr>
          <w:rFonts w:ascii="Consolas" w:hAnsi="Consolas"/>
          <w:sz w:val="20"/>
        </w:rPr>
        <w:t>schema.prisma</w:t>
      </w:r>
      <w:r>
        <w:t xml:space="preserve">'s comment on </w:t>
      </w:r>
      <w:r>
        <w:rPr>
          <w:rFonts w:ascii="Consolas" w:hAnsi="Consolas"/>
          <w:sz w:val="20"/>
        </w:rPr>
        <w:t>Bundle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onDelete</w:t>
      </w:r>
      <w:r>
        <w:t xml:space="preserve"> — where the schema doesn't specify one, Prisma/Postgres falls back to </w:t>
      </w:r>
      <w:r>
        <w:rPr>
          <w:rFonts w:ascii="Consolas" w:hAnsi="Consolas"/>
          <w:sz w:val="20"/>
        </w:rPr>
        <w:t>NO ACTION</w:t>
      </w:r>
      <w:r>
        <w:t>/</w:t>
      </w:r>
      <w:r>
        <w:rPr>
          <w:rFonts w:ascii="Consolas" w:hAnsi="Consolas"/>
          <w:sz w:val="20"/>
        </w:rPr>
        <w:t>RESTRICT</w:t>
      </w:r>
      <w:r>
        <w:t>-like default behavior (the delete is blocked if referencing rows exist), listed below as "not set" rather than guessed at a specific keyword.</w:t>
      </w:r>
    </w:p>
    <w:p>
      <w:pPr>
        <w:pStyle w:val="Heading2"/>
      </w:pPr>
      <w:r>
        <w:t>Full foreign-key relationship table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Parent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Child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FK field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Cardinality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onDelete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RefreshToken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WebAuthnCredential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LoginEvent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Notification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OtpCode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Address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PaymentMethod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userId</w:t>
            </w:r>
            <w:r>
              <w:t xml:space="preserve"> optional+unique — a guest cart has </w:t>
            </w:r>
            <w:r>
              <w:rPr>
                <w:rFonts w:ascii="Consolas" w:hAnsi="Consolas"/>
                <w:sz w:val="20"/>
              </w:rPr>
              <w:t>userId: null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sessionId</w:t>
            </w:r>
            <w:r>
              <w:t xml:space="preserve"> instead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LoyaltyAccount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Review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TicketMessage</w:t>
            </w:r>
          </w:p>
        </w:tc>
        <w:tc>
          <w:tcPr>
            <w:tcW w:type="dxa" w:w="1440"/>
          </w:tcPr>
          <w:p>
            <w:r>
              <w:t>authorUserId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t>either customer or staff can author a message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WishlistItem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optional — </w:t>
            </w:r>
            <w:r>
              <w:rPr>
                <w:rFonts w:ascii="Consolas" w:hAnsi="Consolas"/>
                <w:sz w:val="20"/>
              </w:rPr>
              <w:t>Order.userId</w:t>
            </w:r>
            <w:r>
              <w:t xml:space="preserve"> nullable, order can outlive/precede a full account record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optional both ways</w:t>
            </w:r>
            <w:r>
              <w:t xml:space="preserve"> — Employee exists independently of User (pre-onboarding); a User is never required to have an Employee row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LeaveRequest</w:t>
            </w:r>
          </w:p>
        </w:tc>
        <w:tc>
          <w:tcPr>
            <w:tcW w:type="dxa" w:w="1440"/>
          </w:tcPr>
          <w:p>
            <w:r>
              <w:t>reviewedByUserId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staff reviewer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reviewedByUserId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staff reviewer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PerformanceGoal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PerformanceFeedback</w:t>
            </w:r>
          </w:p>
        </w:tc>
        <w:tc>
          <w:tcPr>
            <w:tcW w:type="dxa" w:w="1440"/>
          </w:tcPr>
          <w:p>
            <w:r>
              <w:t>givenByUserId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PerformanceReview</w:t>
            </w:r>
          </w:p>
        </w:tc>
        <w:tc>
          <w:tcPr>
            <w:tcW w:type="dxa" w:w="1440"/>
          </w:tcPr>
          <w:p>
            <w:r>
              <w:t>reviewerUserId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approvedByUserId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ActivityLog</w:t>
            </w:r>
          </w:p>
        </w:tc>
        <w:tc>
          <w:tcPr>
            <w:tcW w:type="dxa" w:w="1440"/>
          </w:tcPr>
          <w:p>
            <w:r>
              <w:t>actorUserId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not a real </w:t>
            </w:r>
            <w:r>
              <w:rPr>
                <w:rFonts w:ascii="Consolas" w:hAnsi="Consolas"/>
                <w:b/>
                <w:sz w:val="20"/>
              </w:rPr>
              <w:t>@relation</w:t>
            </w:r>
            <w:r>
              <w:t xml:space="preserve"> — plain string, snapshotted at write time. An audit trail must survive independently of the row it describes (same reasoning as anonymize-on-delete elsewhere); a write can never fail on a missing/anonymized actor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ExchangeRateHistory</w:t>
            </w:r>
          </w:p>
        </w:tc>
        <w:tc>
          <w:tcPr>
            <w:tcW w:type="dxa" w:w="1440"/>
          </w:tcPr>
          <w:p>
            <w:r>
              <w:t>changedByUserId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also a plain string, not a </w:t>
            </w:r>
            <w:r>
              <w:rPr>
                <w:rFonts w:ascii="Consolas" w:hAnsi="Consolas"/>
                <w:b/>
                <w:sz w:val="20"/>
              </w:rPr>
              <w:t>@relation</w:t>
            </w:r>
            <w:r>
              <w:t xml:space="preserve"> — same non-FK pattern as </w:t>
            </w:r>
            <w:r>
              <w:rPr>
                <w:rFonts w:ascii="Consolas" w:hAnsi="Consolas"/>
                <w:sz w:val="20"/>
              </w:rPr>
              <w:t>ActivityLog.actorUserId</w:t>
            </w:r>
            <w:r>
              <w:t>, undocumented in the schema's own comments but consistent with the audit-trail convention</w:t>
            </w:r>
          </w:p>
        </w:tc>
      </w:tr>
      <w:tr>
        <w:tc>
          <w:tcPr>
            <w:tcW w:type="dxa" w:w="1440"/>
          </w:tcPr>
          <w:p>
            <w:r>
              <w:t>ProductLine</w:t>
            </w:r>
          </w:p>
        </w:tc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productLineId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null = ChrisPa's own product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ProductWellnessTag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t xml:space="preserve">join table, composite PK </w:t>
            </w:r>
            <w:r>
              <w:rPr>
                <w:rFonts w:ascii="Consolas" w:hAnsi="Consolas"/>
                <w:sz w:val="20"/>
              </w:rPr>
              <w:t>(productId, wellnessTagId)</w:t>
            </w:r>
          </w:p>
        </w:tc>
      </w:tr>
      <w:tr>
        <w:tc>
          <w:tcPr>
            <w:tcW w:type="dxa" w:w="1440"/>
          </w:tcPr>
          <w:p>
            <w:r>
              <w:t>WellnessTag</w:t>
            </w:r>
          </w:p>
        </w:tc>
        <w:tc>
          <w:tcPr>
            <w:tcW w:type="dxa" w:w="1440"/>
          </w:tcPr>
          <w:p>
            <w:r>
              <w:t>ProductWellnessTag</w:t>
            </w:r>
          </w:p>
        </w:tc>
        <w:tc>
          <w:tcPr>
            <w:tcW w:type="dxa" w:w="1440"/>
          </w:tcPr>
          <w:p>
            <w:r>
              <w:t>wellnessTagId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ProductMedia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InventoryRecord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Warehouse</w:t>
            </w:r>
          </w:p>
        </w:tc>
        <w:tc>
          <w:tcPr>
            <w:tcW w:type="dxa" w:w="1440"/>
          </w:tcPr>
          <w:p>
            <w:r>
              <w:t>InventoryRecord</w:t>
            </w:r>
          </w:p>
        </w:tc>
        <w:tc>
          <w:tcPr>
            <w:tcW w:type="dxa" w:w="1440"/>
          </w:tcPr>
          <w:p>
            <w:r>
              <w:t>warehouseId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Review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variantId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variantId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snapshotted at order time</w:t>
            </w:r>
          </w:p>
        </w:tc>
      </w:tr>
      <w:tr>
        <w:tc>
          <w:tcPr>
            <w:tcW w:type="dxa" w:w="1440"/>
          </w:tcPr>
          <w:p>
            <w:r>
              <w:t>VendorPayout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vendorPayoutId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null until included in a payout run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WishlistItem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cartId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Warehouse</w:t>
            </w:r>
          </w:p>
        </w:tc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warehouseId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LoyaltyLedgerEntry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PaymentTransaction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a Flutterwave charge can be initiated before the order is confirmed to exist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Delivery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(Driver App, not in original SRS) — </w:t>
            </w:r>
            <w:r>
              <w:rPr>
                <w:rFonts w:ascii="Consolas" w:hAnsi="Consolas"/>
                <w:sz w:val="20"/>
              </w:rPr>
              <w:t>orderId @unique</w:t>
            </w:r>
            <w:r>
              <w:t>, one delivery assignment per order, no split-shipment support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Delivery</w:t>
            </w:r>
          </w:p>
        </w:tc>
        <w:tc>
          <w:tcPr>
            <w:tcW w:type="dxa" w:w="1440"/>
          </w:tcPr>
          <w:p>
            <w:r>
              <w:t>driverId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— the driver; relation named </w:t>
            </w:r>
            <w:r>
              <w:rPr>
                <w:rFonts w:ascii="Consolas" w:hAnsi="Consolas"/>
                <w:sz w:val="20"/>
              </w:rPr>
              <w:t>DriverDeliveries</w:t>
            </w:r>
            <w:r>
              <w:t xml:space="preserve"> in schema.prisma to disambiguate from </w:t>
            </w:r>
            <w:r>
              <w:rPr>
                <w:rFonts w:ascii="Consolas" w:hAnsi="Consolas"/>
                <w:sz w:val="20"/>
              </w:rPr>
              <w:t>Order.user</w:t>
            </w:r>
          </w:p>
        </w:tc>
      </w:tr>
      <w:tr>
        <w:tc>
          <w:tcPr>
            <w:tcW w:type="dxa" w:w="1440"/>
          </w:tcPr>
          <w:p>
            <w:r>
              <w:t>LoyaltyAccount</w:t>
            </w:r>
          </w:p>
        </w:tc>
        <w:tc>
          <w:tcPr>
            <w:tcW w:type="dxa" w:w="1440"/>
          </w:tcPr>
          <w:p>
            <w:r>
              <w:t>LoyaltyLedgerEntry</w:t>
            </w:r>
          </w:p>
        </w:tc>
        <w:tc>
          <w:tcPr>
            <w:tcW w:type="dxa" w:w="1440"/>
          </w:tcPr>
          <w:p>
            <w:r>
              <w:t>loyaltyAccountId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TicketMessage</w:t>
            </w:r>
          </w:p>
        </w:tc>
        <w:tc>
          <w:tcPr>
            <w:tcW w:type="dxa" w:w="1440"/>
          </w:tcPr>
          <w:p>
            <w:r>
              <w:t>ticketId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VendorPayout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DepartmentPermission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managerId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EmployeeManager</w:t>
            </w:r>
            <w:r>
              <w:t>), optional — one manager, many direct reports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EmploymentHistoryEntry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EmployeeDocument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TimeEntry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LeaveRequest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Shift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shiftId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requestedByEmployeeId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coverEmployeeId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swap approval reassigns the parent </w:t>
            </w:r>
            <w:r>
              <w:rPr>
                <w:rFonts w:ascii="Consolas" w:hAnsi="Consolas"/>
                <w:sz w:val="20"/>
              </w:rPr>
              <w:t>Shift.employeeId</w:t>
            </w:r>
            <w:r>
              <w:t xml:space="preserve"> to this employee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PerformanceGoal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PerformanceFeedback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PerformanceReview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Applicant</w:t>
            </w:r>
          </w:p>
        </w:tc>
        <w:tc>
          <w:tcPr>
            <w:tcW w:type="dxa" w:w="1440"/>
          </w:tcPr>
          <w:p>
            <w:r>
              <w:t>jobPostingId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Applicant</w:t>
            </w:r>
          </w:p>
        </w:tc>
        <w:tc>
          <w:tcPr>
            <w:tcW w:type="dxa" w:w="1440"/>
          </w:tcPr>
          <w:p>
            <w:r>
              <w:t>convertedEmployeeId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optional+unique — set once </w:t>
            </w:r>
            <w:r>
              <w:rPr>
                <w:rFonts w:ascii="Consolas" w:hAnsi="Consolas"/>
                <w:sz w:val="20"/>
              </w:rPr>
              <w:t>RecruitmentService.convertToEmployee()</w:t>
            </w:r>
            <w:r>
              <w:t xml:space="preserve"> runs</w:t>
            </w:r>
          </w:p>
        </w:tc>
      </w:tr>
      <w:tr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EmployeeAllowance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PayslipAdvanceRepayment</w:t>
            </w:r>
          </w:p>
        </w:tc>
        <w:tc>
          <w:tcPr>
            <w:tcW w:type="dxa" w:w="1440"/>
          </w:tcPr>
          <w:p>
            <w:r>
              <w:t>payslipId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PayslipAdvanceRepayment</w:t>
            </w:r>
          </w:p>
        </w:tc>
        <w:tc>
          <w:tcPr>
            <w:tcW w:type="dxa" w:w="1440"/>
          </w:tcPr>
          <w:p>
            <w:r>
              <w:t>advanceId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parentEntityId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EntityHierarchy</w:t>
            </w:r>
            <w:r>
              <w:t>), optional — null = the group's ultimate parent</w:t>
            </w:r>
          </w:p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counterpartyEntityId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marks the intercompany due-to/due-from account's counterparty entity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parentAccountId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AccountHierarchy</w:t>
            </w:r>
            <w:r>
              <w:t>), optional</w:t>
            </w:r>
          </w:p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FiscalPeriod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FiscalPeriod</w:t>
            </w:r>
          </w:p>
        </w:tc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fiscalPeriodId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journal entries can only post into an </w:t>
            </w:r>
            <w:r>
              <w:rPr>
                <w:rFonts w:ascii="Consolas" w:hAnsi="Consolas"/>
                <w:sz w:val="20"/>
              </w:rPr>
              <w:t>OPEN</w:t>
            </w:r>
            <w:r>
              <w:t xml:space="preserve"> period</w:t>
            </w:r>
          </w:p>
        </w:tc>
      </w:tr>
      <w:tr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JournalEntryLine</w:t>
            </w:r>
          </w:p>
        </w:tc>
        <w:tc>
          <w:tcPr>
            <w:tcW w:type="dxa" w:w="1440"/>
          </w:tcPr>
          <w:p>
            <w:r>
              <w:t>journalEntryId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JournalEntryLine</w:t>
            </w:r>
          </w:p>
        </w:tc>
        <w:tc>
          <w:tcPr>
            <w:tcW w:type="dxa" w:w="1440"/>
          </w:tcPr>
          <w:p>
            <w:r>
              <w:t>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</w:tbl>
    <w:p>
      <w:pPr>
        <w:pStyle w:val="Heading2"/>
      </w:pPr>
      <w:r>
        <w:t>Non-obvious rules worth knowing before touching any of the above</w:t>
      </w:r>
    </w:p>
    <w:p>
      <w:pPr>
        <w:pStyle w:val="ListBullet"/>
      </w:pPr>
      <w:r>
        <w:rPr>
          <w:rFonts w:ascii="Consolas" w:hAnsi="Consolas"/>
          <w:b/>
          <w:sz w:val="20"/>
        </w:rPr>
        <w:t>ActivityLog.actorUserId</w:t>
      </w:r>
      <w:r>
        <w:rPr>
          <w:b/>
        </w:rPr>
        <w:t xml:space="preserve"> and </w:t>
      </w:r>
      <w:r>
        <w:rPr>
          <w:rFonts w:ascii="Consolas" w:hAnsi="Consolas"/>
          <w:b/>
          <w:sz w:val="20"/>
        </w:rPr>
        <w:t>ExchangeRateHistory.changedByUserId</w:t>
      </w:r>
      <w:r>
        <w:rPr>
          <w:b/>
        </w:rPr>
        <w:t xml:space="preserve"> are not real foreign keys</w:t>
      </w:r>
      <w:r>
        <w:t xml:space="preserve"> — both are plain </w:t>
      </w:r>
      <w:r>
        <w:rPr>
          <w:rFonts w:ascii="Consolas" w:hAnsi="Consolas"/>
          <w:sz w:val="20"/>
        </w:rPr>
        <w:t>String</w:t>
      </w:r>
      <w:r>
        <w:t>/</w:t>
      </w:r>
      <w:r>
        <w:rPr>
          <w:rFonts w:ascii="Consolas" w:hAnsi="Consolas"/>
          <w:sz w:val="20"/>
        </w:rPr>
        <w:t>String?</w:t>
      </w:r>
      <w:r>
        <w:t xml:space="preserve"> columns, deliberately not </w:t>
      </w:r>
      <w:r>
        <w:rPr>
          <w:rFonts w:ascii="Consolas" w:hAnsi="Consolas"/>
          <w:sz w:val="20"/>
        </w:rPr>
        <w:t>@relation</w:t>
      </w:r>
      <w:r>
        <w:t>s, so an audit-trail write can never fail or block on a missing/since-anonymized user row.</w:t>
      </w:r>
    </w:p>
    <w:p>
      <w:pPr>
        <w:pStyle w:val="ListBullet"/>
      </w:pPr>
      <w:r>
        <w:rPr>
          <w:rFonts w:ascii="Consolas" w:hAnsi="Consolas"/>
          <w:b/>
          <w:sz w:val="20"/>
        </w:rPr>
        <w:t>User</w:t>
      </w:r>
      <w:r>
        <w:rPr>
          <w:b/>
        </w:rPr>
        <w:t xml:space="preserve"> ↔ </w:t>
      </w:r>
      <w:r>
        <w:rPr>
          <w:rFonts w:ascii="Consolas" w:hAnsi="Consolas"/>
          <w:b/>
          <w:sz w:val="20"/>
        </w:rPr>
        <w:t>Employee</w:t>
      </w:r>
      <w:r>
        <w:rPr>
          <w:b/>
        </w:rPr>
        <w:t xml:space="preserve"> is optional on both sides</w:t>
      </w:r>
      <w:r>
        <w:t xml:space="preserve"> — </w:t>
      </w:r>
      <w:r>
        <w:rPr>
          <w:rFonts w:ascii="Consolas" w:hAnsi="Consolas"/>
          <w:sz w:val="20"/>
        </w:rPr>
        <w:t>Employee</w:t>
      </w:r>
      <w:r>
        <w:t xml:space="preserve"> is intentionally independent of </w:t>
      </w:r>
      <w:r>
        <w:rPr>
          <w:rFonts w:ascii="Consolas" w:hAnsi="Consolas"/>
          <w:sz w:val="20"/>
        </w:rPr>
        <w:t>User</w:t>
      </w:r>
      <w:r>
        <w:t xml:space="preserve"> (HR can hold a record for someone in recruitment/onboarding, or an employee who never gets a system login); a </w:t>
      </w:r>
      <w:r>
        <w:rPr>
          <w:rFonts w:ascii="Consolas" w:hAnsi="Consolas"/>
          <w:sz w:val="20"/>
        </w:rPr>
        <w:t>User</w:t>
      </w:r>
      <w:r>
        <w:t xml:space="preserve"> is never required to link to an </w:t>
      </w:r>
      <w:r>
        <w:rPr>
          <w:rFonts w:ascii="Consolas" w:hAnsi="Consolas"/>
          <w:sz w:val="20"/>
        </w:rPr>
        <w:t>Employee</w:t>
      </w:r>
      <w:r>
        <w:t xml:space="preserve"> either (most customer/staff accounts have none).</w:t>
      </w:r>
    </w:p>
    <w:p>
      <w:pPr>
        <w:pStyle w:val="ListBullet"/>
      </w:pPr>
      <w:r>
        <w:rPr>
          <w:rFonts w:ascii="Consolas" w:hAnsi="Consolas"/>
          <w:b/>
          <w:sz w:val="20"/>
        </w:rPr>
        <w:t>User.suspendedAt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deletedAt</w:t>
      </w:r>
      <w:r>
        <w:t xml:space="preserve"> are not relations but govern one: </w:t>
      </w:r>
      <w:r>
        <w:rPr>
          <w:rFonts w:ascii="Consolas" w:hAnsi="Consolas"/>
          <w:sz w:val="20"/>
        </w:rPr>
        <w:t>AuthService.completeLogin()</w:t>
      </w:r>
      <w:r>
        <w:t xml:space="preserve"> (and </w:t>
      </w:r>
      <w:r>
        <w:rPr>
          <w:rFonts w:ascii="Consolas" w:hAnsi="Consolas"/>
          <w:sz w:val="20"/>
        </w:rPr>
        <w:t>refresh()</w:t>
      </w:r>
      <w:r>
        <w:t xml:space="preserve"> separately) block token issuance while either is set — see </w:t>
      </w:r>
      <w:r>
        <w:rPr>
          <w:rFonts w:ascii="Consolas" w:hAnsi="Consolas"/>
          <w:sz w:val="20"/>
        </w:rPr>
        <w:t>21-data-flow-diagram.md</w:t>
      </w:r>
      <w:r>
        <w:t xml:space="preserve">'s Authentication &amp; Login diagram. </w:t>
      </w:r>
      <w:r>
        <w:rPr>
          <w:rFonts w:ascii="Consolas" w:hAnsi="Consolas"/>
          <w:sz w:val="20"/>
        </w:rPr>
        <w:t>deletedAt</w:t>
      </w:r>
      <w:r>
        <w:t xml:space="preserve"> also nulls out </w:t>
      </w:r>
      <w:r>
        <w:rPr>
          <w:rFonts w:ascii="Consolas" w:hAnsi="Consolas"/>
          <w:sz w:val="20"/>
        </w:rPr>
        <w:t>email</w:t>
      </w:r>
      <w:r>
        <w:t>/</w:t>
      </w:r>
      <w:r>
        <w:rPr>
          <w:rFonts w:ascii="Consolas" w:hAnsi="Consolas"/>
          <w:sz w:val="20"/>
        </w:rPr>
        <w:t>phone</w:t>
      </w:r>
      <w:r>
        <w:t xml:space="preserve"> so those </w:t>
      </w:r>
      <w:r>
        <w:rPr>
          <w:rFonts w:ascii="Consolas" w:hAnsi="Consolas"/>
          <w:sz w:val="20"/>
        </w:rPr>
        <w:t>@unique</w:t>
      </w:r>
      <w:r>
        <w:t xml:space="preserve"> columns free up for a future re-registration (Postgres treats each </w:t>
      </w:r>
      <w:r>
        <w:rPr>
          <w:rFonts w:ascii="Consolas" w:hAnsi="Consolas"/>
          <w:sz w:val="20"/>
        </w:rPr>
        <w:t>NULL</w:t>
      </w:r>
      <w:r>
        <w:t xml:space="preserve"> as distinct).</w:t>
      </w:r>
    </w:p>
    <w:p>
      <w:pPr>
        <w:pStyle w:val="ListBullet"/>
      </w:pPr>
      <w:r>
        <w:rPr>
          <w:rFonts w:ascii="Consolas" w:hAnsi="Consolas"/>
          <w:b/>
          <w:sz w:val="20"/>
        </w:rPr>
        <w:t>Product</w:t>
      </w:r>
      <w:r>
        <w:rPr>
          <w:b/>
        </w:rPr>
        <w:t xml:space="preserve"> is soft-archived, never hard-deleted</w:t>
      </w:r>
      <w:r>
        <w:t xml:space="preserve">, once it has real order history — </w:t>
      </w:r>
      <w:r>
        <w:rPr>
          <w:rFonts w:ascii="Consolas" w:hAnsi="Consolas"/>
          <w:sz w:val="20"/>
        </w:rPr>
        <w:t>OrderItem.productId</w:t>
      </w:r>
      <w:r>
        <w:t xml:space="preserve"> has no </w:t>
      </w:r>
      <w:r>
        <w:rPr>
          <w:rFonts w:ascii="Consolas" w:hAnsi="Consolas"/>
          <w:sz w:val="20"/>
        </w:rPr>
        <w:t>onDelete: Cascade</w:t>
      </w:r>
      <w:r>
        <w:t>/</w:t>
      </w:r>
      <w:r>
        <w:rPr>
          <w:rFonts w:ascii="Consolas" w:hAnsi="Consolas"/>
          <w:sz w:val="20"/>
        </w:rPr>
        <w:t>SetNull</w:t>
      </w:r>
      <w:r>
        <w:t>, so a hard delete would violate that FK by design; that's what forces the archive-instead-of-delete convention (</w:t>
      </w:r>
      <w:r>
        <w:rPr>
          <w:rFonts w:ascii="Consolas" w:hAnsi="Consolas"/>
          <w:sz w:val="20"/>
        </w:rPr>
        <w:t>ProductStatus.ARCHIVED</w:t>
      </w:r>
      <w:r>
        <w:t xml:space="preserve">) in </w:t>
      </w:r>
      <w:r>
        <w:rPr>
          <w:rFonts w:ascii="Consolas" w:hAnsi="Consolas"/>
          <w:sz w:val="20"/>
        </w:rPr>
        <w:t>CatalogService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Employee</w:t>
      </w:r>
      <w:r>
        <w:rPr>
          <w:b/>
        </w:rPr>
        <w:t xml:space="preserve"> is soft-terminated, never hard-deleted</w:t>
      </w:r>
      <w:r>
        <w:t xml:space="preserve"> — same reasoning, </w:t>
      </w:r>
      <w:r>
        <w:rPr>
          <w:rFonts w:ascii="Consolas" w:hAnsi="Consolas"/>
          <w:sz w:val="20"/>
        </w:rPr>
        <w:t>employmentStatus: TERMINATED</w:t>
      </w:r>
      <w:r>
        <w:t xml:space="preserve"> plus an </w:t>
      </w:r>
      <w:r>
        <w:rPr>
          <w:rFonts w:ascii="Consolas" w:hAnsi="Consolas"/>
          <w:sz w:val="20"/>
        </w:rPr>
        <w:t>EmploymentHistoryEntry</w:t>
      </w:r>
      <w:r>
        <w:t xml:space="preserve"> audit row, never a real </w:t>
      </w:r>
      <w:r>
        <w:rPr>
          <w:rFonts w:ascii="Consolas" w:hAnsi="Consolas"/>
          <w:sz w:val="20"/>
        </w:rPr>
        <w:t>DELETE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Delivery</w:t>
      </w:r>
      <w:r>
        <w:rPr>
          <w:b/>
        </w:rPr>
        <w:t xml:space="preserve"> is 1:1 with </w:t>
      </w:r>
      <w:r>
        <w:rPr>
          <w:rFonts w:ascii="Consolas" w:hAnsi="Consolas"/>
          <w:b/>
          <w:sz w:val="20"/>
        </w:rPr>
        <w:t>Order</w:t>
      </w:r>
      <w:r>
        <w:rPr>
          <w:b/>
        </w:rPr>
        <w:t>, reassignable, not append-only</w:t>
      </w:r>
      <w:r>
        <w:t xml:space="preserve"> (added commit </w:t>
      </w:r>
      <w:r>
        <w:rPr>
          <w:rFonts w:ascii="Consolas" w:hAnsi="Consolas"/>
          <w:sz w:val="20"/>
        </w:rPr>
        <w:t>75b7cff</w:t>
      </w:r>
      <w:r>
        <w:t xml:space="preserve">, Driver App, not in original SRS) — assigning a driver to an order that already has one </w:t>
      </w:r>
      <w:r>
        <w:rPr>
          <w:rFonts w:ascii="Consolas" w:hAnsi="Consolas"/>
          <w:sz w:val="20"/>
        </w:rPr>
        <w:t>upsert</w:t>
      </w:r>
      <w:r>
        <w:t xml:space="preserve">s the existing row rather than creating a second, clearing its pickup/delivery snapshots and resetting </w:t>
      </w:r>
      <w:r>
        <w:rPr>
          <w:rFonts w:ascii="Consolas" w:hAnsi="Consolas"/>
          <w:sz w:val="20"/>
        </w:rPr>
        <w:t>status</w:t>
      </w:r>
      <w:r>
        <w:t xml:space="preserve"> to </w:t>
      </w:r>
      <w:r>
        <w:rPr>
          <w:rFonts w:ascii="Consolas" w:hAnsi="Consolas"/>
          <w:sz w:val="20"/>
        </w:rPr>
        <w:t>ASSIGNED</w:t>
      </w:r>
      <w:r>
        <w:t xml:space="preserve">; there is no history of prior driver assignments once reassigned. </w:t>
      </w:r>
      <w:r>
        <w:rPr>
          <w:rFonts w:ascii="Consolas" w:hAnsi="Consolas"/>
          <w:sz w:val="20"/>
        </w:rPr>
        <w:t>currentLat</w:t>
      </w:r>
      <w:r>
        <w:t>/</w:t>
      </w:r>
      <w:r>
        <w:rPr>
          <w:rFonts w:ascii="Consolas" w:hAnsi="Consolas"/>
          <w:sz w:val="20"/>
        </w:rPr>
        <w:t>currentLng</w:t>
      </w:r>
      <w:r>
        <w:t>/</w:t>
      </w:r>
      <w:r>
        <w:rPr>
          <w:rFonts w:ascii="Consolas" w:hAnsi="Consolas"/>
          <w:sz w:val="20"/>
        </w:rPr>
        <w:t>lastLocationAt</w:t>
      </w:r>
      <w:r>
        <w:t xml:space="preserve"> are likewise a single overwritten snapshot, not a location-history table. </w:t>
      </w:r>
      <w:r>
        <w:rPr>
          <w:rFonts w:ascii="Consolas" w:hAnsi="Consolas"/>
          <w:sz w:val="20"/>
        </w:rPr>
        <w:t>priority</w:t>
      </w:r>
      <w:r>
        <w:t xml:space="preserve"> (commit </w:t>
      </w:r>
      <w:r>
        <w:rPr>
          <w:rFonts w:ascii="Consolas" w:hAnsi="Consolas"/>
          <w:sz w:val="20"/>
        </w:rPr>
        <w:t>445a258</w:t>
      </w:r>
      <w:r>
        <w:t xml:space="preserve">) is preserved across reassignment (not reset like the pickup/delivery fields) unless the reassign call passes a new one. </w:t>
      </w:r>
      <w:r>
        <w:rPr>
          <w:rFonts w:ascii="Consolas" w:hAnsi="Consolas"/>
          <w:sz w:val="20"/>
        </w:rPr>
        <w:t>User.driverStatus</w:t>
      </w:r>
      <w:r>
        <w:t xml:space="preserve"> (also commit </w:t>
      </w:r>
      <w:r>
        <w:rPr>
          <w:rFonts w:ascii="Consolas" w:hAnsi="Consolas"/>
          <w:sz w:val="20"/>
        </w:rPr>
        <w:t>445a258</w:t>
      </w:r>
      <w:r>
        <w:t xml:space="preserve">) is a plain scalar on </w:t>
      </w:r>
      <w:r>
        <w:rPr>
          <w:rFonts w:ascii="Consolas" w:hAnsi="Consolas"/>
          <w:sz w:val="20"/>
        </w:rPr>
        <w:t>User</w:t>
      </w:r>
      <w:r>
        <w:t>, not a relation — see the Data Dictionary for its self-reported-only semantics.</w:t>
      </w:r>
    </w:p>
    <w:p>
      <w:pPr>
        <w:pStyle w:val="ListBullet"/>
      </w:pPr>
      <w:r>
        <w:rPr>
          <w:rFonts w:ascii="Consolas" w:hAnsi="Consolas"/>
          <w:b/>
          <w:sz w:val="20"/>
        </w:rPr>
        <w:t>Bundle.productIds</w:t>
      </w:r>
      <w:r>
        <w:t xml:space="preserve"> is a scalar </w:t>
      </w:r>
      <w:r>
        <w:rPr>
          <w:rFonts w:ascii="Consolas" w:hAnsi="Consolas"/>
          <w:sz w:val="20"/>
        </w:rPr>
        <w:t>String[]</w:t>
      </w:r>
      <w:r>
        <w:t xml:space="preserve"> of Product IDs, not a join table — no referential integrity (a deleted/archived product ID can linger in a bundle's array unnoticed); a deliberate simplification, not an oversight, per the schema's own comment.</w:t>
      </w:r>
    </w:p>
    <w:p>
      <w:pPr>
        <w:pStyle w:val="ListBullet"/>
      </w:pPr>
      <w:r>
        <w:rPr>
          <w:rFonts w:ascii="Consolas" w:hAnsi="Consolas"/>
          <w:b/>
          <w:sz w:val="20"/>
        </w:rPr>
        <w:t>ShippingZone</w:t>
      </w:r>
      <w:r>
        <w:rPr>
          <w:b/>
        </w:rPr>
        <w:t xml:space="preserve"> has no foreign-key relationship to </w:t>
      </w:r>
      <w:r>
        <w:rPr>
          <w:rFonts w:ascii="Consolas" w:hAnsi="Consolas"/>
          <w:b/>
          <w:sz w:val="20"/>
        </w:rPr>
        <w:t>Order</w:t>
      </w:r>
      <w:r>
        <w:rPr>
          <w:b/>
        </w:rPr>
        <w:t xml:space="preserve"> at all</w:t>
      </w:r>
      <w:r>
        <w:t xml:space="preserve"> (added this session, per user decision, not in the original SRS) — </w:t>
      </w:r>
      <w:r>
        <w:rPr>
          <w:rFonts w:ascii="Consolas" w:hAnsi="Consolas"/>
          <w:sz w:val="20"/>
        </w:rPr>
        <w:t>Order.shippingZoneName</w:t>
      </w:r>
      <w:r>
        <w:t xml:space="preserve"> is a plain </w:t>
      </w:r>
      <w:r>
        <w:rPr>
          <w:rFonts w:ascii="Consolas" w:hAnsi="Consolas"/>
          <w:sz w:val="20"/>
        </w:rPr>
        <w:t>String?</w:t>
      </w:r>
      <w:r>
        <w:t xml:space="preserve"> snapshot of whichever zone's name priced that order's </w:t>
      </w:r>
      <w:r>
        <w:rPr>
          <w:rFonts w:ascii="Consolas" w:hAnsi="Consolas"/>
          <w:sz w:val="20"/>
        </w:rPr>
        <w:t>shippingFeeUgx</w:t>
      </w:r>
      <w:r>
        <w:t xml:space="preserve"> at checkout time, not a </w:t>
      </w:r>
      <w:r>
        <w:rPr>
          <w:rFonts w:ascii="Consolas" w:hAnsi="Consolas"/>
          <w:sz w:val="20"/>
        </w:rPr>
        <w:t>zoneId</w:t>
      </w:r>
      <w:r>
        <w:t xml:space="preserve"> relation. Deliberate, same "snapshot, don't live-join" reasoning as </w:t>
      </w:r>
      <w:r>
        <w:rPr>
          <w:rFonts w:ascii="Consolas" w:hAnsi="Consolas"/>
          <w:sz w:val="20"/>
        </w:rPr>
        <w:t>OrderItem.vendorId</w:t>
      </w:r>
      <w:r>
        <w:t xml:space="preserve">/HR's </w:t>
      </w:r>
      <w:r>
        <w:rPr>
          <w:rFonts w:ascii="Consolas" w:hAnsi="Consolas"/>
          <w:sz w:val="20"/>
        </w:rPr>
        <w:t>Payslip</w:t>
      </w:r>
      <w:r>
        <w:t xml:space="preserve"> rows: a zone can be renamed or deleted later without a real FK to worry about, and a past order's receipt keeps showing exactly what applied when it was placed. Zone matching itself (</w:t>
      </w:r>
      <w:r>
        <w:rPr>
          <w:rFonts w:ascii="Consolas" w:hAnsi="Consolas"/>
          <w:sz w:val="20"/>
        </w:rPr>
        <w:t>ShippingZonesService.priceFor()</w:t>
      </w:r>
      <w:r>
        <w:t xml:space="preserve">) is data-driven, not FK-driven — it string-matches the order's </w:t>
      </w:r>
      <w:r>
        <w:rPr>
          <w:rFonts w:ascii="Consolas" w:hAnsi="Consolas"/>
          <w:sz w:val="20"/>
        </w:rPr>
        <w:t>shippingAddress.city</w:t>
      </w:r>
      <w:r>
        <w:t xml:space="preserve"> (itself unstructured </w:t>
      </w:r>
      <w:r>
        <w:rPr>
          <w:rFonts w:ascii="Consolas" w:hAnsi="Consolas"/>
          <w:sz w:val="20"/>
        </w:rPr>
        <w:t>Json</w:t>
      </w:r>
      <w:r>
        <w:t xml:space="preserve">, not a relation) against each zone's </w:t>
      </w:r>
      <w:r>
        <w:rPr>
          <w:rFonts w:ascii="Consolas" w:hAnsi="Consolas"/>
          <w:sz w:val="20"/>
        </w:rPr>
        <w:t>towns</w:t>
      </w:r>
      <w:r>
        <w:t xml:space="preserve"> array.</w:t>
      </w:r>
    </w:p>
    <w:p>
      <w:pPr>
        <w:pStyle w:val="ListBullet"/>
      </w:pPr>
      <w:r>
        <w:rPr>
          <w:b/>
        </w:rPr>
        <w:t xml:space="preserve">Notable </w:t>
      </w:r>
      <w:r>
        <w:rPr>
          <w:rFonts w:ascii="Consolas" w:hAnsi="Consolas"/>
          <w:b/>
          <w:sz w:val="20"/>
        </w:rPr>
        <w:t>@@unique</w:t>
      </w:r>
      <w:r>
        <w:rPr>
          <w:b/>
        </w:rPr>
        <w:t xml:space="preserve"> constraints</w:t>
      </w:r>
      <w:r>
        <w:t xml:space="preserve"> beyond simple PK/FK uniqueness: </w:t>
      </w:r>
      <w:r>
        <w:rPr>
          <w:rFonts w:ascii="Consolas" w:hAnsi="Consolas"/>
          <w:sz w:val="20"/>
        </w:rPr>
        <w:t>InventoryRecord</w:t>
      </w:r>
      <w:r>
        <w:t xml:space="preserve"> </w:t>
      </w:r>
      <w:r>
        <w:rPr>
          <w:rFonts w:ascii="Consolas" w:hAnsi="Consolas"/>
          <w:sz w:val="20"/>
        </w:rPr>
        <w:t>[productId, warehouseId, batchLot]</w:t>
      </w:r>
      <w:r>
        <w:t xml:space="preserve">; </w:t>
      </w:r>
      <w:r>
        <w:rPr>
          <w:rFonts w:ascii="Consolas" w:hAnsi="Consolas"/>
          <w:sz w:val="20"/>
        </w:rPr>
        <w:t>CartItem</w:t>
      </w:r>
      <w:r>
        <w:t xml:space="preserve"> </w:t>
      </w:r>
      <w:r>
        <w:rPr>
          <w:rFonts w:ascii="Consolas" w:hAnsi="Consolas"/>
          <w:sz w:val="20"/>
        </w:rPr>
        <w:t>[cartId, productId, variantId]</w:t>
      </w:r>
      <w:r>
        <w:t xml:space="preserve"> (Postgres's NULL-is-distinct behavior means this doesn't dedupe null-variant rows — handled in application code, see </w:t>
      </w:r>
      <w:r>
        <w:rPr>
          <w:rFonts w:ascii="Consolas" w:hAnsi="Consolas"/>
          <w:sz w:val="20"/>
        </w:rPr>
        <w:t>cart.service.ts</w:t>
      </w:r>
      <w:r>
        <w:t xml:space="preserve">); </w:t>
      </w:r>
      <w:r>
        <w:rPr>
          <w:rFonts w:ascii="Consolas" w:hAnsi="Consolas"/>
          <w:sz w:val="20"/>
        </w:rPr>
        <w:t>WishlistItem</w:t>
      </w:r>
      <w:r>
        <w:t xml:space="preserve"> </w:t>
      </w:r>
      <w:r>
        <w:rPr>
          <w:rFonts w:ascii="Consolas" w:hAnsi="Consolas"/>
          <w:sz w:val="20"/>
        </w:rPr>
        <w:t>[userId, productId]</w:t>
      </w:r>
      <w:r>
        <w:t xml:space="preserve">; </w:t>
      </w:r>
      <w:r>
        <w:rPr>
          <w:rFonts w:ascii="Consolas" w:hAnsi="Consolas"/>
          <w:sz w:val="20"/>
        </w:rPr>
        <w:t>Account</w:t>
      </w:r>
      <w:r>
        <w:t xml:space="preserve"> </w:t>
      </w:r>
      <w:r>
        <w:rPr>
          <w:rFonts w:ascii="Consolas" w:hAnsi="Consolas"/>
          <w:sz w:val="20"/>
        </w:rPr>
        <w:t>[entityId, code]</w:t>
      </w:r>
      <w:r>
        <w:t xml:space="preserve">; </w:t>
      </w:r>
      <w:r>
        <w:rPr>
          <w:rFonts w:ascii="Consolas" w:hAnsi="Consolas"/>
          <w:sz w:val="20"/>
        </w:rPr>
        <w:t>FiscalPeriod</w:t>
      </w:r>
      <w:r>
        <w:t xml:space="preserve"> </w:t>
      </w:r>
      <w:r>
        <w:rPr>
          <w:rFonts w:ascii="Consolas" w:hAnsi="Consolas"/>
          <w:sz w:val="20"/>
        </w:rPr>
        <w:t>[entityId, month]</w:t>
      </w:r>
      <w:r>
        <w:t xml:space="preserve">; </w:t>
      </w:r>
      <w:r>
        <w:rPr>
          <w:rFonts w:ascii="Consolas" w:hAnsi="Consolas"/>
          <w:sz w:val="20"/>
        </w:rPr>
        <w:t>JournalEntry</w:t>
      </w:r>
      <w:r>
        <w:t xml:space="preserve"> </w:t>
      </w:r>
      <w:r>
        <w:rPr>
          <w:rFonts w:ascii="Consolas" w:hAnsi="Consolas"/>
          <w:sz w:val="20"/>
        </w:rPr>
        <w:t>[entityId, entryNumber]</w:t>
      </w:r>
      <w:r>
        <w:t xml:space="preserve">; </w:t>
      </w:r>
      <w:r>
        <w:rPr>
          <w:rFonts w:ascii="Consolas" w:hAnsi="Consolas"/>
          <w:sz w:val="20"/>
        </w:rPr>
        <w:t>Payslip</w:t>
      </w:r>
      <w:r>
        <w:t xml:space="preserve"> </w:t>
      </w:r>
      <w:r>
        <w:rPr>
          <w:rFonts w:ascii="Consolas" w:hAnsi="Consolas"/>
          <w:sz w:val="20"/>
        </w:rPr>
        <w:t>[periodId, employeeId]</w:t>
      </w:r>
      <w:r>
        <w:t xml:space="preserve">; </w:t>
      </w:r>
      <w:r>
        <w:rPr>
          <w:rFonts w:ascii="Consolas" w:hAnsi="Consolas"/>
          <w:sz w:val="20"/>
        </w:rPr>
        <w:t>DepartmentPermission</w:t>
      </w:r>
      <w:r>
        <w:t xml:space="preserve"> </w:t>
      </w:r>
      <w:r>
        <w:rPr>
          <w:rFonts w:ascii="Consolas" w:hAnsi="Consolas"/>
          <w:sz w:val="20"/>
        </w:rPr>
        <w:t>[departmentId, resource]</w:t>
      </w:r>
      <w:r>
        <w:t xml:space="preserve">; </w:t>
      </w:r>
      <w:r>
        <w:rPr>
          <w:rFonts w:ascii="Consolas" w:hAnsi="Consolas"/>
          <w:sz w:val="20"/>
        </w:rPr>
        <w:t>PayrollPeriod</w:t>
      </w:r>
      <w:r>
        <w:t xml:space="preserve"> </w:t>
      </w:r>
      <w:r>
        <w:rPr>
          <w:rFonts w:ascii="Consolas" w:hAnsi="Consolas"/>
          <w:sz w:val="20"/>
        </w:rPr>
        <w:t>[month, type]</w:t>
      </w:r>
      <w:r>
        <w:t xml:space="preserve"> — the field that lets a </w:t>
      </w:r>
      <w:r>
        <w:rPr>
          <w:rFonts w:ascii="Consolas" w:hAnsi="Consolas"/>
          <w:sz w:val="20"/>
        </w:rPr>
        <w:t>REGULAR</w:t>
      </w:r>
      <w:r>
        <w:t xml:space="preserve"> and a </w:t>
      </w:r>
      <w:r>
        <w:rPr>
          <w:rFonts w:ascii="Consolas" w:hAnsi="Consolas"/>
          <w:sz w:val="20"/>
        </w:rPr>
        <w:t>THIRTEENTH_MONTH</w:t>
      </w:r>
      <w:r>
        <w:t xml:space="preserve"> period coexist in the same December.</w:t>
      </w:r>
    </w:p>
    <w:p>
      <w:pPr>
        <w:pStyle w:val="Heading2"/>
      </w:pPr>
      <w:r>
        <w:t>Domain cluster diagrams</w:t>
      </w:r>
    </w:p>
    <w:p>
      <w:pPr>
        <w:pStyle w:val="Heading3"/>
      </w:pPr>
      <w:r>
        <w:t>Identity &amp; auth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    ┌──────────┐ 1:N  ┌────────────┐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├──────&gt;RefreshToken │     │   User    ├──────&gt;WebAuthn    │</w:t>
      </w:r>
    </w:p>
    <w:p>
      <w:r>
        <w:rPr>
          <w:rFonts w:ascii="Consolas" w:hAnsi="Consolas"/>
          <w:sz w:val="19"/>
        </w:rPr>
        <w:t xml:space="preserve">   │          │      └──────────────┘     │          │      │Credential 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┌──────────────┐     │          │      └────────────┘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  LoginEvent  │     │          │ 1:N  ┌────────────┐</w:t>
      </w:r>
    </w:p>
    <w:p>
      <w:r>
        <w:rPr>
          <w:rFonts w:ascii="Consolas" w:hAnsi="Consolas"/>
          <w:sz w:val="19"/>
        </w:rPr>
        <w:t xml:space="preserve">   │          │      └──────────────┘     │          ├──────&gt;  OtpCode  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┌──────────────┐     └──────────┘      └────────────┘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├──────&gt;Notification 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</w:t>
      </w:r>
    </w:p>
    <w:p>
      <w:pPr>
        <w:pStyle w:val="Heading3"/>
      </w:pPr>
      <w:r>
        <w:t>Customer account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 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 Address    │        │   User    ├──────&gt;PaymentMethod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  └──────────┘      └──────────────┘</w:t>
      </w:r>
    </w:p>
    <w:p>
      <w:pPr>
        <w:pStyle w:val="Heading3"/>
      </w:pPr>
      <w:r>
        <w:t>Catalog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ProductLine├──────&gt;  Product  ├──────&gt;ProductWellness│</w:t>
      </w:r>
    </w:p>
    <w:p>
      <w:r>
        <w:rPr>
          <w:rFonts w:ascii="Consolas" w:hAnsi="Consolas"/>
          <w:sz w:val="19"/>
        </w:rPr>
        <w:t xml:space="preserve">   └────────────┘      └────┬─────┘      │Tag (join)      │&lt;──1:N──┌────────────┐</w:t>
      </w:r>
    </w:p>
    <w:p>
      <w:r>
        <w:rPr>
          <w:rFonts w:ascii="Consolas" w:hAnsi="Consolas"/>
          <w:sz w:val="19"/>
        </w:rPr>
        <w:t xml:space="preserve">                             │            └──────────────┘         │ WellnessTag │</w:t>
      </w:r>
    </w:p>
    <w:p>
      <w:r>
        <w:rPr>
          <w:rFonts w:ascii="Consolas" w:hAnsi="Consolas"/>
          <w:sz w:val="19"/>
        </w:rPr>
        <w:t xml:space="preserve">                    1:N ┌────┴────┐ 1:N                            └────────────┘</w:t>
      </w:r>
    </w:p>
    <w:p>
      <w:r>
        <w:rPr>
          <w:rFonts w:ascii="Consolas" w:hAnsi="Consolas"/>
          <w:sz w:val="19"/>
        </w:rPr>
        <w:t xml:space="preserve">                        v          v</w:t>
      </w:r>
    </w:p>
    <w:p>
      <w:r>
        <w:rPr>
          <w:rFonts w:ascii="Consolas" w:hAnsi="Consolas"/>
          <w:sz w:val="19"/>
        </w:rPr>
        <w:t xml:space="preserve">                 ┌────────────┐ ┌─────────┐</w:t>
      </w:r>
    </w:p>
    <w:p>
      <w:r>
        <w:rPr>
          <w:rFonts w:ascii="Consolas" w:hAnsi="Consolas"/>
          <w:sz w:val="19"/>
        </w:rPr>
        <w:t xml:space="preserve">                 │ ProductMedia│ │ Variant │</w:t>
      </w:r>
    </w:p>
    <w:p>
      <w:r>
        <w:rPr>
          <w:rFonts w:ascii="Consolas" w:hAnsi="Consolas"/>
          <w:sz w:val="19"/>
        </w:rPr>
        <w:t xml:space="preserve">                 └────────────┘ └─────────┘</w:t>
      </w:r>
    </w:p>
    <w:p>
      <w:r>
        <w:rPr>
          <w:rFonts w:ascii="Consolas" w:hAnsi="Consolas"/>
          <w:sz w:val="19"/>
        </w:rPr>
        <w:t xml:space="preserve">                        ^</w:t>
      </w:r>
    </w:p>
    <w:p>
      <w:r>
        <w:rPr>
          <w:rFonts w:ascii="Consolas" w:hAnsi="Consolas"/>
          <w:sz w:val="19"/>
        </w:rPr>
        <w:t xml:space="preserve">                 optional N:1</w:t>
      </w:r>
    </w:p>
    <w:p>
      <w:r>
        <w:rPr>
          <w:rFonts w:ascii="Consolas" w:hAnsi="Consolas"/>
          <w:sz w:val="19"/>
        </w:rPr>
        <w:t xml:space="preserve">                 ┌──────────┐</w:t>
      </w:r>
    </w:p>
    <w:p>
      <w:r>
        <w:rPr>
          <w:rFonts w:ascii="Consolas" w:hAnsi="Consolas"/>
          <w:sz w:val="19"/>
        </w:rPr>
        <w:t xml:space="preserve">                 │  Vendor   │</w:t>
      </w:r>
    </w:p>
    <w:p>
      <w:r>
        <w:rPr>
          <w:rFonts w:ascii="Consolas" w:hAnsi="Consolas"/>
          <w:sz w:val="19"/>
        </w:rPr>
        <w:t xml:space="preserve">                 └──────────┘</w:t>
      </w:r>
    </w:p>
    <w:p>
      <w:pPr>
        <w:pStyle w:val="Heading3"/>
      </w:pPr>
      <w:r>
        <w:t>Inventory &amp; cart/checkout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┌─────────────────┐      ┌──────────┐ 1:1  ┌──────┐ 1:N ┌──────────┐</w:t>
      </w:r>
    </w:p>
    <w:p>
      <w:r>
        <w:rPr>
          <w:rFonts w:ascii="Consolas" w:hAnsi="Consolas"/>
          <w:sz w:val="19"/>
        </w:rPr>
        <w:t xml:space="preserve">   │  Product  ├──────&gt;InventoryRecord │      │   User    ├──────&gt; Cart ├─────&gt;CartItem  │</w:t>
      </w:r>
    </w:p>
    <w:p>
      <w:r>
        <w:rPr>
          <w:rFonts w:ascii="Consolas" w:hAnsi="Consolas"/>
          <w:sz w:val="19"/>
        </w:rPr>
        <w:t xml:space="preserve">   └──────────┘      │&lt;──1:N── Warehouse│      └──────────┘      └──────┘     └──────────┘</w:t>
      </w:r>
    </w:p>
    <w:p>
      <w:r>
        <w:rPr>
          <w:rFonts w:ascii="Consolas" w:hAnsi="Consolas"/>
          <w:sz w:val="19"/>
        </w:rPr>
        <w:t xml:space="preserve">                      └─────────────────┘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1:N  ┌──────────┐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Order   ├──────&gt;OrderItem │──N:1──&gt; Product, Variant (optional),</w:t>
      </w:r>
    </w:p>
    <w:p>
      <w:r>
        <w:rPr>
          <w:rFonts w:ascii="Consolas" w:hAnsi="Consolas"/>
          <w:sz w:val="19"/>
        </w:rPr>
        <w:t xml:space="preserve">   │(optional) │      │&lt;─N:1─    │      └──────────┘         Vendor (optional),</w:t>
      </w:r>
    </w:p>
    <w:p>
      <w:r>
        <w:rPr>
          <w:rFonts w:ascii="Consolas" w:hAnsi="Consolas"/>
          <w:sz w:val="19"/>
        </w:rPr>
        <w:t xml:space="preserve">   └──────────┘      │Warehouse │                            VendorPayout (optional)</w:t>
      </w:r>
    </w:p>
    <w:p>
      <w:r>
        <w:rPr>
          <w:rFonts w:ascii="Consolas" w:hAnsi="Consolas"/>
          <w:sz w:val="19"/>
        </w:rPr>
        <w:t xml:space="preserve">                      └────┬─────┘</w:t>
      </w:r>
    </w:p>
    <w:p>
      <w:r>
        <w:rPr>
          <w:rFonts w:ascii="Consolas" w:hAnsi="Consolas"/>
          <w:sz w:val="19"/>
        </w:rPr>
        <w:t xml:space="preserve">                 1:N ┌─────┼─────┐ 1:N          1:1 ┌──────────┐ N:1 ┌──────────┐</w:t>
      </w:r>
    </w:p>
    <w:p>
      <w:r>
        <w:rPr>
          <w:rFonts w:ascii="Consolas" w:hAnsi="Consolas"/>
          <w:sz w:val="19"/>
        </w:rPr>
        <w:t xml:space="preserve">                     v     │     v ─────────────────&gt;│ Delivery ├─────&gt; User      │</w:t>
      </w:r>
    </w:p>
    <w:p>
      <w:r>
        <w:rPr>
          <w:rFonts w:ascii="Consolas" w:hAnsi="Consolas"/>
          <w:sz w:val="19"/>
        </w:rPr>
        <w:t xml:space="preserve">              ┌────────────┐ ┌──────────────┐        └──────────┘     │(driver)  │</w:t>
      </w:r>
    </w:p>
    <w:p>
      <w:r>
        <w:rPr>
          <w:rFonts w:ascii="Consolas" w:hAnsi="Consolas"/>
          <w:sz w:val="19"/>
        </w:rPr>
        <w:t xml:space="preserve">              │SupportTicket│ │LoyaltyLedger │                        └──────────┘</w:t>
      </w:r>
    </w:p>
    <w:p>
      <w:r>
        <w:rPr>
          <w:rFonts w:ascii="Consolas" w:hAnsi="Consolas"/>
          <w:sz w:val="19"/>
        </w:rPr>
        <w:t xml:space="preserve">              └────────────┘ │Entry          │</w:t>
      </w:r>
    </w:p>
    <w:p>
      <w:r>
        <w:rPr>
          <w:rFonts w:ascii="Consolas" w:hAnsi="Consolas"/>
          <w:sz w:val="19"/>
        </w:rPr>
        <w:t xml:space="preserve">                              └──────────────┘</w:t>
      </w:r>
    </w:p>
    <w:p>
      <w:r>
        <w:rPr>
          <w:rFonts w:ascii="Consolas" w:hAnsi="Consolas"/>
          <w:sz w:val="20"/>
        </w:rPr>
        <w:t>Delivery</w:t>
      </w:r>
      <w:r>
        <w:t xml:space="preserve"> added commit </w:t>
      </w:r>
      <w:r>
        <w:rPr>
          <w:rFonts w:ascii="Consolas" w:hAnsi="Consolas"/>
          <w:sz w:val="20"/>
        </w:rPr>
        <w:t>75b7cff</w:t>
      </w:r>
      <w:r>
        <w:t xml:space="preserve"> (Driver App, not in original SRS) — see the Non-obvious rules note above.</w:t>
      </w:r>
    </w:p>
    <w:p>
      <w:pPr>
        <w:pStyle w:val="Heading3"/>
      </w:pPr>
      <w:r>
        <w:t>Marketplace &amp; payments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           ┌──────────┐ 1:N  ┌───────────────────┐</w:t>
      </w:r>
    </w:p>
    <w:p>
      <w:r>
        <w:rPr>
          <w:rFonts w:ascii="Consolas" w:hAnsi="Consolas"/>
          <w:sz w:val="19"/>
        </w:rPr>
        <w:t xml:space="preserve">   │  Vendor   ├──────&gt;  Product  │           │  Order    ├──────&gt;PaymentTransaction│</w:t>
      </w:r>
    </w:p>
    <w:p>
      <w:r>
        <w:rPr>
          <w:rFonts w:ascii="Consolas" w:hAnsi="Consolas"/>
          <w:sz w:val="19"/>
        </w:rPr>
        <w:t xml:space="preserve">   │          │ 1:N  ┌──────────┐            │(optional)│      └───────────────────┘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├──────&gt;OrderItem  │            └──────────┘</w:t>
      </w:r>
    </w:p>
    <w:p>
      <w:r>
        <w:rPr>
          <w:rFonts w:ascii="Consolas" w:hAnsi="Consolas"/>
          <w:sz w:val="19"/>
        </w:rPr>
        <w:t xml:space="preserve">   │          │ 1:N  ┌──────────┐</w:t>
      </w:r>
    </w:p>
    <w:p>
      <w:r>
        <w:rPr>
          <w:rFonts w:ascii="Consolas" w:hAnsi="Consolas"/>
          <w:sz w:val="19"/>
        </w:rPr>
        <w:t xml:space="preserve">   │          ├──────&gt;VendorPayout│──1:N──&gt; OrderItem (paid line items)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└──────────┘</w:t>
      </w:r>
    </w:p>
    <w:p>
      <w:pPr>
        <w:pStyle w:val="Heading3"/>
      </w:pPr>
      <w:r>
        <w:t>Loyalty &amp; CRM/support</w:t>
      </w:r>
    </w:p>
    <w:p>
      <w:r>
        <w:rPr>
          <w:rFonts w:ascii="Consolas" w:hAnsi="Consolas"/>
          <w:sz w:val="19"/>
        </w:rPr>
        <w:t xml:space="preserve">   ┌──────────┐ 1:1  ┌──────────────┐ 1:N  ┌────────────────────┐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├──────&gt;LoyaltyAccount├──────&gt;LoyaltyLedgerEntry  │──N:1(optional)──&gt; Order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└────────────────────┘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├──────&gt;SupportTicket ├──────&gt;TicketMessage │──N:1──&gt; User (author)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└──────────────┘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   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Review  │&lt;──N:1────┤  Product  │      │             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└──────────┘          └──────────┘      │              │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N:1                            </w:t>
      </w:r>
    </w:p>
    <w:p>
      <w:r>
        <w:rPr>
          <w:rFonts w:ascii="Consolas" w:hAnsi="Consolas"/>
          <w:sz w:val="19"/>
        </w:rPr>
        <w:t xml:space="preserve">   │   User    ├──────&gt;WishlistItem ├──────&gt; Product (unique per user+product)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</w:t>
      </w:r>
    </w:p>
    <w:p>
      <w:pPr>
        <w:pStyle w:val="Heading3"/>
      </w:pPr>
      <w:r>
        <w:t>HR — org, attendance/leave/shifts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┌────────────────┐</w:t>
      </w:r>
    </w:p>
    <w:p>
      <w:r>
        <w:rPr>
          <w:rFonts w:ascii="Consolas" w:hAnsi="Consolas"/>
          <w:sz w:val="19"/>
        </w:rPr>
        <w:t xml:space="preserve">   │ Department  ├──────&gt;Employee  ├──────&gt;EmploymentHistory│</w:t>
      </w:r>
    </w:p>
    <w:p>
      <w:r>
        <w:rPr>
          <w:rFonts w:ascii="Consolas" w:hAnsi="Consolas"/>
          <w:sz w:val="19"/>
        </w:rPr>
        <w:t xml:space="preserve">   │            │      │  (self:   │      │Entry            │</w:t>
      </w:r>
    </w:p>
    <w:p>
      <w:r>
        <w:rPr>
          <w:rFonts w:ascii="Consolas" w:hAnsi="Consolas"/>
          <w:sz w:val="19"/>
        </w:rPr>
        <w:t xml:space="preserve">   │            │ 1:N  │  manager/ │ 1:N  └────────────────┘</w:t>
      </w:r>
    </w:p>
    <w:p>
      <w:r>
        <w:rPr>
          <w:rFonts w:ascii="Consolas" w:hAnsi="Consolas"/>
          <w:sz w:val="19"/>
        </w:rPr>
        <w:t xml:space="preserve">   │            ├──────&gt;direct     ├──────&gt;EmployeeDocument │</w:t>
      </w:r>
    </w:p>
    <w:p>
      <w:r>
        <w:rPr>
          <w:rFonts w:ascii="Consolas" w:hAnsi="Consolas"/>
          <w:sz w:val="19"/>
        </w:rPr>
        <w:t xml:space="preserve">   └────────────┘      │  reports) │      └────────────────┘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    └────┬─────┘</w:t>
      </w:r>
    </w:p>
    <w:p>
      <w:r>
        <w:rPr>
          <w:rFonts w:ascii="Consolas" w:hAnsi="Consolas"/>
          <w:sz w:val="19"/>
        </w:rPr>
        <w:t xml:space="preserve">              1:N ┌──────────┼──────────┐ 1:N</w:t>
      </w:r>
    </w:p>
    <w:p>
      <w:r>
        <w:rPr>
          <w:rFonts w:ascii="Consolas" w:hAnsi="Consolas"/>
          <w:sz w:val="19"/>
        </w:rPr>
        <w:t xml:space="preserve">                  v          v          v</w:t>
      </w:r>
    </w:p>
    <w:p>
      <w:r>
        <w:rPr>
          <w:rFonts w:ascii="Consolas" w:hAnsi="Consolas"/>
          <w:sz w:val="19"/>
        </w:rPr>
        <w:t xml:space="preserve">           ┌──────────┐┌──────────┐┌──────────┐</w:t>
      </w:r>
    </w:p>
    <w:p>
      <w:r>
        <w:rPr>
          <w:rFonts w:ascii="Consolas" w:hAnsi="Consolas"/>
          <w:sz w:val="19"/>
        </w:rPr>
        <w:t xml:space="preserve">           │TimeEntry  ││LeaveRequest││  Shift   │──1:N──&gt; ShiftSwapRequest</w:t>
      </w:r>
    </w:p>
    <w:p>
      <w:r>
        <w:rPr>
          <w:rFonts w:ascii="Consolas" w:hAnsi="Consolas"/>
          <w:sz w:val="19"/>
        </w:rPr>
        <w:t xml:space="preserve">           └──────────┘└──────────┘└──────────┘         (requestedBy/coverEmployee)</w:t>
      </w:r>
    </w:p>
    <w:p>
      <w:pPr>
        <w:pStyle w:val="Heading3"/>
      </w:pPr>
      <w:r>
        <w:t>HR — performance &amp; recruitment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┌────────────────┐         ┌────────────┐ 1:N  ┌──────────┐</w:t>
      </w:r>
    </w:p>
    <w:p>
      <w:r>
        <w:rPr>
          <w:rFonts w:ascii="Consolas" w:hAnsi="Consolas"/>
          <w:sz w:val="19"/>
        </w:rPr>
        <w:t xml:space="preserve">   │ Employee  ├──────&gt;PerformanceGoal │         │ JobPosting  ├──────&gt;Applicant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┌────────────────┐         └────────────┘      │(optional  │</w:t>
      </w:r>
    </w:p>
    <w:p>
      <w:r>
        <w:rPr>
          <w:rFonts w:ascii="Consolas" w:hAnsi="Consolas"/>
          <w:sz w:val="19"/>
        </w:rPr>
        <w:t xml:space="preserve">   │          ├──────&gt;PerformanceFeed- │                            │ 1:1 to    │</w:t>
      </w:r>
    </w:p>
    <w:p>
      <w:r>
        <w:rPr>
          <w:rFonts w:ascii="Consolas" w:hAnsi="Consolas"/>
          <w:sz w:val="19"/>
        </w:rPr>
        <w:t xml:space="preserve">   │          │      │back              │                           │ Employee  │</w:t>
      </w:r>
    </w:p>
    <w:p>
      <w:r>
        <w:rPr>
          <w:rFonts w:ascii="Consolas" w:hAnsi="Consolas"/>
          <w:sz w:val="19"/>
        </w:rPr>
        <w:t xml:space="preserve">   │          │ 1:N  └────────────────┘                            │ once      │</w:t>
      </w:r>
    </w:p>
    <w:p>
      <w:r>
        <w:rPr>
          <w:rFonts w:ascii="Consolas" w:hAnsi="Consolas"/>
          <w:sz w:val="19"/>
        </w:rPr>
        <w:t xml:space="preserve">   │          ├──────&gt;PerformanceReview │                           │ converted)│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└────────────────┘                            └──────────┘</w:t>
      </w:r>
    </w:p>
    <w:p>
      <w:pPr>
        <w:pStyle w:val="Heading3"/>
      </w:pPr>
      <w:r>
        <w:t>HR — payroll</w:t>
      </w:r>
    </w:p>
    <w:p>
      <w:r>
        <w:rPr>
          <w:rFonts w:ascii="Consolas" w:hAnsi="Consolas"/>
          <w:sz w:val="19"/>
        </w:rPr>
        <w:t xml:space="preserve">   ┌──────────────┐ 1:N  ┌──────────┐ 1:N  ┌────────────────────┐</w:t>
      </w:r>
    </w:p>
    <w:p>
      <w:r>
        <w:rPr>
          <w:rFonts w:ascii="Consolas" w:hAnsi="Consolas"/>
          <w:sz w:val="19"/>
        </w:rPr>
        <w:t xml:space="preserve">   │ PayrollPeriod ├──────&gt;  Payslip  ├──────&gt;PayslipAdvance      │──N:1──&gt; SalaryAdvance</w:t>
      </w:r>
    </w:p>
    <w:p>
      <w:r>
        <w:rPr>
          <w:rFonts w:ascii="Consolas" w:hAnsi="Consolas"/>
          <w:sz w:val="19"/>
        </w:rPr>
        <w:t xml:space="preserve">   │              │      │          │      │Repayment            │</w:t>
      </w:r>
    </w:p>
    <w:p>
      <w:r>
        <w:rPr>
          <w:rFonts w:ascii="Consolas" w:hAnsi="Consolas"/>
          <w:sz w:val="19"/>
        </w:rPr>
        <w:t xml:space="preserve">   │              │ 1:N  └──────────┘      └────────────────────┘</w:t>
      </w:r>
    </w:p>
    <w:p>
      <w:r>
        <w:rPr>
          <w:rFonts w:ascii="Consolas" w:hAnsi="Consolas"/>
          <w:sz w:val="19"/>
        </w:rPr>
        <w:t xml:space="preserve">   │              ├──────&gt;PayrollAdjust-│</w:t>
      </w:r>
    </w:p>
    <w:p>
      <w:r>
        <w:rPr>
          <w:rFonts w:ascii="Consolas" w:hAnsi="Consolas"/>
          <w:sz w:val="19"/>
        </w:rPr>
        <w:t xml:space="preserve">   └──────────────┘      │ment           │──N:1──&gt; Employee</w:t>
      </w:r>
    </w:p>
    <w:p>
      <w:r>
        <w:rPr>
          <w:rFonts w:ascii="Consolas" w:hAnsi="Consolas"/>
          <w:sz w:val="19"/>
        </w:rPr>
        <w:t xml:space="preserve">                          └────────────────┘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┌──────────────────┐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Employee  ├──────&gt;EmployeeAllowance │      │ Employee  ├──────&gt;SalaryAdvance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└──────────────────┘      └──────────┘      └──────────────┘</w:t>
      </w:r>
    </w:p>
    <w:p>
      <w:pPr>
        <w:pStyle w:val="Heading3"/>
      </w:pPr>
      <w:r>
        <w:t>Financial &amp; accounting (multi-entity)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┌──────────────┐ 1:N  ┌────────────────┐</w:t>
      </w:r>
    </w:p>
    <w:p>
      <w:r>
        <w:rPr>
          <w:rFonts w:ascii="Consolas" w:hAnsi="Consolas"/>
          <w:sz w:val="19"/>
        </w:rPr>
        <w:t xml:space="preserve">   │ LegalEntity ├──────&gt;  Account  │      │ JournalEntry  ├──────&gt;JournalEntryLine│──N:1──&gt; Account</w:t>
      </w:r>
    </w:p>
    <w:p>
      <w:r>
        <w:rPr>
          <w:rFonts w:ascii="Consolas" w:hAnsi="Consolas"/>
          <w:sz w:val="19"/>
        </w:rPr>
        <w:t xml:space="preserve">   │  (self:     │ 1:N  │  (self:   │      │              │      └────────────────┘</w:t>
      </w:r>
    </w:p>
    <w:p>
      <w:r>
        <w:rPr>
          <w:rFonts w:ascii="Consolas" w:hAnsi="Consolas"/>
          <w:sz w:val="19"/>
        </w:rPr>
        <w:t xml:space="preserve">   │  parent/    ├──────&gt;  parent/  │      └──────┬───────┘</w:t>
      </w:r>
    </w:p>
    <w:p>
      <w:r>
        <w:rPr>
          <w:rFonts w:ascii="Consolas" w:hAnsi="Consolas"/>
          <w:sz w:val="19"/>
        </w:rPr>
        <w:t xml:space="preserve">   │  subsidiary)│      │  child)   │             │N:1</w:t>
      </w:r>
    </w:p>
    <w:p>
      <w:r>
        <w:rPr>
          <w:rFonts w:ascii="Consolas" w:hAnsi="Consolas"/>
          <w:sz w:val="19"/>
        </w:rPr>
        <w:t xml:space="preserve">   │            │ 1:N  └──────────┘             v</w:t>
      </w:r>
    </w:p>
    <w:p>
      <w:r>
        <w:rPr>
          <w:rFonts w:ascii="Consolas" w:hAnsi="Consolas"/>
          <w:sz w:val="19"/>
        </w:rPr>
        <w:t xml:space="preserve">   │            ├──────&gt;FiscalPeriod │───1:N──&gt;JournalEntry (must post into an OPEN period)</w:t>
      </w:r>
    </w:p>
    <w:p>
      <w:r>
        <w:rPr>
          <w:rFonts w:ascii="Consolas" w:hAnsi="Consolas"/>
          <w:sz w:val="19"/>
        </w:rPr>
        <w:t xml:space="preserve">   └────────────┘      └──────────┘</w:t>
      </w:r>
    </w:p>
    <w:p>
      <w:r>
        <w:rPr>
          <w:rFonts w:ascii="Consolas" w:hAnsi="Consolas"/>
          <w:sz w:val="20"/>
        </w:rPr>
        <w:t>GroupSettings</w:t>
      </w:r>
      <w:r>
        <w:t xml:space="preserve"> is a singleton with no relations (always read as "the first row"). </w:t>
      </w:r>
      <w:r>
        <w:rPr>
          <w:rFonts w:ascii="Consolas" w:hAnsi="Consolas"/>
          <w:sz w:val="20"/>
        </w:rPr>
        <w:t>ExchangeRateHistory</w:t>
      </w:r>
      <w:r>
        <w:t xml:space="preserve"> references </w:t>
      </w:r>
      <w:r>
        <w:rPr>
          <w:rFonts w:ascii="Consolas" w:hAnsi="Consolas"/>
          <w:sz w:val="20"/>
        </w:rPr>
        <w:t>LegalEntity</w:t>
      </w:r>
      <w:r>
        <w:t>/</w:t>
      </w:r>
      <w:r>
        <w:rPr>
          <w:rFonts w:ascii="Consolas" w:hAnsi="Consolas"/>
          <w:sz w:val="20"/>
        </w:rPr>
        <w:t>User</w:t>
      </w:r>
      <w:r>
        <w:t xml:space="preserve"> by plain string columns only (see the callout above), so it's intentionally omitted from this diagram's connecting lines despite being part of the same domain.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3-database-design.docx" TargetMode="External"/><Relationship Id="rId10" Type="http://schemas.openxmlformats.org/officeDocument/2006/relationships/hyperlink" Target="./23-data-dictiona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22. Entity Relationship Diagram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