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02. System Architecture</w:t>
      </w:r>
    </w:p>
    <w:p>
      <w:r>
        <w:t>Adapts template §3 ("High-Level Architecture") to ChrisPa's actual topology.</w:t>
      </w:r>
    </w:p>
    <w:p>
      <w:pPr>
        <w:pStyle w:val="Heading2"/>
      </w:pPr>
      <w:r>
        <w:t>Local development architecture</w:t>
      </w:r>
    </w:p>
    <w:p>
      <w:r>
        <w:t>(See "Production architecture," below, for the live deployment — this section documents local dev only.)</w:t>
      </w:r>
    </w:p>
    <w:p>
      <w:r>
        <w:rPr>
          <w:rFonts w:ascii="Consolas" w:hAnsi="Consolas"/>
          <w:sz w:val="19"/>
        </w:rPr>
        <w:t>Browser</w:t>
      </w:r>
    </w:p>
    <w:p>
      <w:r>
        <w:rPr>
          <w:rFonts w:ascii="Consolas" w:hAnsi="Consolas"/>
          <w:sz w:val="19"/>
        </w:rPr>
        <w:t xml:space="preserve">  │</w:t>
      </w:r>
    </w:p>
    <w:p>
      <w:r>
        <w:rPr>
          <w:rFonts w:ascii="Consolas" w:hAnsi="Consolas"/>
          <w:sz w:val="19"/>
        </w:rPr>
        <w:t xml:space="preserve">  ├── http://localhost:3001  ──▶  apps/storefront (Next.js 16, App Router)</w:t>
      </w:r>
    </w:p>
    <w:p>
      <w:r>
        <w:rPr>
          <w:rFonts w:ascii="Consolas" w:hAnsi="Consolas"/>
          <w:sz w:val="19"/>
        </w:rPr>
        <w:t xml:space="preserve">  ├── http://localhost:3002  ──▶  apps/admin (Next.js 16, App Router)</w:t>
      </w:r>
    </w:p>
    <w:p>
      <w:r>
        <w:rPr>
          <w:rFonts w:ascii="Consolas" w:hAnsi="Consolas"/>
          <w:sz w:val="19"/>
        </w:rPr>
        <w:t xml:space="preserve">  │</w:t>
      </w:r>
    </w:p>
    <w:p>
      <w:r>
        <w:rPr>
          <w:rFonts w:ascii="Consolas" w:hAnsi="Consolas"/>
          <w:sz w:val="19"/>
        </w:rPr>
        <w:t xml:space="preserve">  │   both call, from the browser, via authedFetch()</w:t>
      </w:r>
    </w:p>
    <w:p>
      <w:r>
        <w:rPr>
          <w:rFonts w:ascii="Consolas" w:hAnsi="Consolas"/>
          <w:sz w:val="19"/>
        </w:rPr>
        <w:t xml:space="preserve">  ▼</w:t>
      </w:r>
    </w:p>
    <w:p>
      <w:r>
        <w:rPr>
          <w:rFonts w:ascii="Consolas" w:hAnsi="Consolas"/>
          <w:sz w:val="19"/>
        </w:rPr>
        <w:t>http://localhost:3000/api/v1  ──▶  apps/api (NestJS + Fastify)</w:t>
      </w:r>
    </w:p>
    <w:p>
      <w:r>
        <w:rPr>
          <w:rFonts w:ascii="Consolas" w:hAnsi="Consolas"/>
          <w:sz w:val="19"/>
        </w:rPr>
        <w:t xml:space="preserve">  │</w:t>
      </w:r>
    </w:p>
    <w:p>
      <w:r>
        <w:rPr>
          <w:rFonts w:ascii="Consolas" w:hAnsi="Consolas"/>
          <w:sz w:val="19"/>
        </w:rPr>
        <w:t xml:space="preserve">  ├──▶ PostgreSQL 16  (docker-compose "postgres", host port 5440)</w:t>
      </w:r>
    </w:p>
    <w:p>
      <w:r>
        <w:rPr>
          <w:rFonts w:ascii="Consolas" w:hAnsi="Consolas"/>
          <w:sz w:val="19"/>
        </w:rPr>
        <w:t xml:space="preserve">  ├──▶ Redis 7        (docker-compose "redis",    host port 6380)</w:t>
      </w:r>
    </w:p>
    <w:p>
      <w:r>
        <w:rPr>
          <w:rFonts w:ascii="Consolas" w:hAnsi="Consolas"/>
          <w:sz w:val="19"/>
        </w:rPr>
        <w:t xml:space="preserve">  └──▶ apps/api/uploads/  (local disk — user-uploaded avatars, no object storage)</w:t>
      </w:r>
    </w:p>
    <w:p>
      <w:r>
        <w:t>There is no reverse proxy, no DNS layer, no VPN layer, and no separate build/deploy pipeline yet: each process runs directly (</w:t>
      </w:r>
      <w:r>
        <w:rPr>
          <w:rFonts w:ascii="Consolas" w:hAnsi="Consolas"/>
          <w:sz w:val="20"/>
        </w:rPr>
        <w:t>npm run dev:api</w:t>
      </w:r>
      <w:r>
        <w:t xml:space="preserve"> / </w:t>
      </w:r>
      <w:r>
        <w:rPr>
          <w:rFonts w:ascii="Consolas" w:hAnsi="Consolas"/>
          <w:sz w:val="20"/>
        </w:rPr>
        <w:t>dev:storefront</w:t>
      </w:r>
      <w:r>
        <w:t xml:space="preserve"> / </w:t>
      </w:r>
      <w:r>
        <w:rPr>
          <w:rFonts w:ascii="Consolas" w:hAnsi="Consolas"/>
          <w:sz w:val="20"/>
        </w:rPr>
        <w:t>dev:admin</w:t>
      </w:r>
      <w:r>
        <w:t>) against ports fixed in each app's own dev server config, and the two Postgres/Redis containers are the only containerized pieces.</w:t>
      </w:r>
    </w:p>
    <w:p>
      <w:r>
        <w:t>The template's assumed flows (§3) map onto ChrisPa as follows: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Template flow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ChrisPa today</w:t>
            </w:r>
          </w:p>
        </w:tc>
      </w:tr>
      <w:tr>
        <w:tc>
          <w:tcPr>
            <w:tcW w:type="dxa" w:w="4320"/>
          </w:tcPr>
          <w:p>
            <w:r>
              <w:t>Internet / external users → DNS → Traefik → application services</w:t>
            </w:r>
          </w:p>
        </w:tc>
        <w:tc>
          <w:tcPr>
            <w:tcW w:type="dxa" w:w="4320"/>
          </w:tcPr>
          <w:p>
            <w:r>
              <w:t xml:space="preserve">In local dev: not applicable, browser talks directly to </w:t>
            </w:r>
            <w:r>
              <w:rPr>
                <w:rFonts w:ascii="Consolas" w:hAnsi="Consolas"/>
                <w:sz w:val="20"/>
              </w:rPr>
              <w:t>localhost</w:t>
            </w:r>
            <w:r>
              <w:t xml:space="preserve"> ports. </w:t>
            </w:r>
            <w:r>
              <w:rPr>
                <w:b/>
              </w:rPr>
              <w:t>In production this flow is real</w:t>
            </w:r>
            <w:r>
              <w:t>, just satisfied by Netlify/Render's own edge + managed TLS instead of a self-hosted Traefik — see "Production architecture," below</w:t>
            </w:r>
          </w:p>
        </w:tc>
      </w:tr>
      <w:tr>
        <w:tc>
          <w:tcPr>
            <w:tcW w:type="dxa" w:w="4320"/>
          </w:tcPr>
          <w:p>
            <w:r>
              <w:t>Administrators → WireGuard VPN → internal services</w:t>
            </w:r>
          </w:p>
        </w:tc>
        <w:tc>
          <w:tcPr>
            <w:tcW w:type="dxa" w:w="4320"/>
          </w:tcPr>
          <w:p>
            <w:r>
              <w:t>Not applicable — admin console is served on the same network as the storefront, no private network segmentation</w:t>
            </w:r>
          </w:p>
        </w:tc>
      </w:tr>
      <w:tr>
        <w:tc>
          <w:tcPr>
            <w:tcW w:type="dxa" w:w="4320"/>
          </w:tcPr>
          <w:p>
            <w:r>
              <w:t>Developers → GitLab → GitLab Runner → build/test → container image → deployment</w:t>
            </w:r>
          </w:p>
        </w:tc>
        <w:tc>
          <w:tcPr>
            <w:tcW w:type="dxa" w:w="4320"/>
          </w:tcPr>
          <w:p>
            <w:r>
              <w:t>Not applicable — no CI/CD; builds are run locally (</w:t>
            </w:r>
            <w:r>
              <w:rPr>
                <w:rFonts w:ascii="Consolas" w:hAnsi="Consolas"/>
                <w:sz w:val="20"/>
              </w:rPr>
              <w:t>npm run build:*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>
              <w:t>Applications → PostgreSQL and persistent storage</w:t>
            </w:r>
          </w:p>
        </w:tc>
        <w:tc>
          <w:tcPr>
            <w:tcW w:type="dxa" w:w="4320"/>
          </w:tcPr>
          <w:p>
            <w:r>
              <w:t>Real today — Prisma-backed Postgres, plus local disk for uploads</w:t>
            </w:r>
          </w:p>
        </w:tc>
      </w:tr>
      <w:tr>
        <w:tc>
          <w:tcPr>
            <w:tcW w:type="dxa" w:w="4320"/>
          </w:tcPr>
          <w:p>
            <w:r>
              <w:t>Infrastructure → Checkmk monitoring</w:t>
            </w:r>
          </w:p>
        </w:tc>
        <w:tc>
          <w:tcPr>
            <w:tcW w:type="dxa" w:w="4320"/>
          </w:tcPr>
          <w:p>
            <w:r>
              <w:t xml:space="preserve">Not applicable — see </w:t>
            </w:r>
            <w:hyperlink r:id="rId9">
              <w:r>
                <w:rPr>
                  <w:color w:val="0563C1"/>
                  <w:u w:val="single"/>
                </w:rPr>
                <w:t xml:space="preserve">`12-observability-and-monitoring.md`</w:t>
              </w:r>
            </w:hyperlink>
          </w:p>
        </w:tc>
      </w:tr>
      <w:tr>
        <w:tc>
          <w:tcPr>
            <w:tcW w:type="dxa" w:w="4320"/>
          </w:tcPr>
          <w:p>
            <w:r>
              <w:t>Critical data → Borg/borgmatic encrypted backups</w:t>
            </w:r>
          </w:p>
        </w:tc>
        <w:tc>
          <w:tcPr>
            <w:tcW w:type="dxa" w:w="4320"/>
          </w:tcPr>
          <w:p>
            <w:r>
              <w:t xml:space="preserve">Not applicable — see </w:t>
            </w:r>
            <w:hyperlink r:id="rId10">
              <w:r>
                <w:rPr>
                  <w:color w:val="0563C1"/>
                  <w:u w:val="single"/>
                </w:rPr>
                <w:t xml:space="preserve">`15-disaster-recovery.md`</w:t>
              </w:r>
            </w:hyperlink>
          </w:p>
        </w:tc>
      </w:tr>
      <w:tr>
        <w:tc>
          <w:tcPr>
            <w:tcW w:type="dxa" w:w="4320"/>
          </w:tcPr>
          <w:p>
            <w:r>
              <w:t>Users → Nextcloud / Zulip / iRedMail</w:t>
            </w:r>
          </w:p>
        </w:tc>
        <w:tc>
          <w:tcPr>
            <w:tcW w:type="dxa" w:w="4320"/>
          </w:tcPr>
          <w:p>
            <w:r>
              <w:t>Not applicable — ChrisPa has no self-hosted mail/chat/file-collaboration services</w:t>
            </w:r>
          </w:p>
        </w:tc>
      </w:tr>
    </w:tbl>
    <w:p>
      <w:pPr>
        <w:pStyle w:val="Heading2"/>
      </w:pPr>
      <w:r>
        <w:t>Request flow — a representative write (checkout)</w:t>
      </w:r>
    </w:p>
    <w:p>
      <w:pPr>
        <w:pStyle w:val="ListNumber"/>
      </w:pPr>
      <w:r>
        <w:t xml:space="preserve">Storefront calls </w:t>
      </w:r>
      <w:r>
        <w:rPr>
          <w:rFonts w:ascii="Consolas" w:hAnsi="Consolas"/>
          <w:sz w:val="20"/>
        </w:rPr>
        <w:t>POST /api/v1/checkout</w:t>
      </w:r>
      <w:r>
        <w:t xml:space="preserve"> with a bearer access token (</w:t>
      </w:r>
      <w:r>
        <w:rPr>
          <w:rFonts w:ascii="Consolas" w:hAnsi="Consolas"/>
          <w:sz w:val="20"/>
        </w:rPr>
        <w:t>authedFetch()</w:t>
      </w:r>
      <w:r>
        <w:t xml:space="preserve">, </w:t>
      </w:r>
      <w:r>
        <w:rPr>
          <w:rFonts w:ascii="Consolas" w:hAnsi="Consolas"/>
          <w:sz w:val="20"/>
        </w:rPr>
        <w:t>lib/auth-client.ts</w:t>
      </w:r>
      <w:r>
        <w:t>).</w:t>
      </w:r>
    </w:p>
    <w:p>
      <w:pPr>
        <w:pStyle w:val="ListNumber"/>
      </w:pPr>
      <w:r>
        <w:rPr>
          <w:rFonts w:ascii="Consolas" w:hAnsi="Consolas"/>
          <w:sz w:val="20"/>
        </w:rPr>
        <w:t>JwtAuthGuard</w:t>
      </w:r>
      <w:r>
        <w:t xml:space="preserve"> verifies the JWT signature; </w:t>
      </w:r>
      <w:r>
        <w:rPr>
          <w:rFonts w:ascii="Consolas" w:hAnsi="Consolas"/>
          <w:sz w:val="20"/>
        </w:rPr>
        <w:t>MustChangePasswordGuard</w:t>
      </w:r>
      <w:r>
        <w:t xml:space="preserve"> (global, </w:t>
      </w:r>
      <w:r>
        <w:rPr>
          <w:rFonts w:ascii="Consolas" w:hAnsi="Consolas"/>
          <w:sz w:val="20"/>
        </w:rPr>
        <w:t>APP_GUARD</w:t>
      </w:r>
      <w:r>
        <w:t xml:space="preserve">) checks the </w:t>
      </w:r>
      <w:r>
        <w:rPr>
          <w:rFonts w:ascii="Consolas" w:hAnsi="Consolas"/>
          <w:sz w:val="20"/>
        </w:rPr>
        <w:t>mustChangePassword</w:t>
      </w:r>
      <w:r>
        <w:t xml:space="preserve"> claim decoded from the same JWT.</w:t>
      </w:r>
    </w:p>
    <w:p>
      <w:pPr>
        <w:pStyle w:val="ListNumber"/>
      </w:pPr>
      <w:r>
        <w:rPr>
          <w:rFonts w:ascii="Consolas" w:hAnsi="Consolas"/>
          <w:sz w:val="20"/>
        </w:rPr>
        <w:t>CheckoutService</w:t>
      </w:r>
      <w:r>
        <w:t xml:space="preserve"> validates the cart, checks per-warehouse stock (FIFO across batches), computes pricing (delivery fee + optional coupon), and — inside a single Prisma </w:t>
      </w:r>
      <w:r>
        <w:rPr>
          <w:rFonts w:ascii="Consolas" w:hAnsi="Consolas"/>
          <w:sz w:val="20"/>
        </w:rPr>
        <w:t>$transaction</w:t>
      </w:r>
      <w:r>
        <w:t xml:space="preserve"> — creates the </w:t>
      </w:r>
      <w:r>
        <w:rPr>
          <w:rFonts w:ascii="Consolas" w:hAnsi="Consolas"/>
          <w:sz w:val="20"/>
        </w:rPr>
        <w:t>Order</w:t>
      </w:r>
      <w:r>
        <w:t xml:space="preserve"> and its </w:t>
      </w:r>
      <w:r>
        <w:rPr>
          <w:rFonts w:ascii="Consolas" w:hAnsi="Consolas"/>
          <w:sz w:val="20"/>
        </w:rPr>
        <w:t>OrderItem</w:t>
      </w:r>
      <w:r>
        <w:t xml:space="preserve">s, decrements </w:t>
      </w:r>
      <w:r>
        <w:rPr>
          <w:rFonts w:ascii="Consolas" w:hAnsi="Consolas"/>
          <w:sz w:val="20"/>
        </w:rPr>
        <w:t>InventoryRecord</w:t>
      </w:r>
      <w:r>
        <w:t>, awards loyalty points, and clears the cart.</w:t>
      </w:r>
    </w:p>
    <w:p>
      <w:pPr>
        <w:pStyle w:val="ListNumber"/>
      </w:pPr>
      <w:r>
        <w:t>Response returns the created order; the storefront redirects to an order-confirmation view.</w:t>
      </w:r>
    </w:p>
    <w:p>
      <w:r>
        <w:t>This end-to-end path (validation → guarded controller → transactional service → Postgres) is the pattern every other module (</w:t>
      </w:r>
      <w:r>
        <w:rPr>
          <w:rFonts w:ascii="Consolas" w:hAnsi="Consolas"/>
          <w:sz w:val="20"/>
        </w:rPr>
        <w:t>catalog</w:t>
      </w:r>
      <w:r>
        <w:t xml:space="preserve">, </w:t>
      </w:r>
      <w:r>
        <w:rPr>
          <w:rFonts w:ascii="Consolas" w:hAnsi="Consolas"/>
          <w:sz w:val="20"/>
        </w:rPr>
        <w:t>orders</w:t>
      </w:r>
      <w:r>
        <w:t xml:space="preserve">, </w:t>
      </w:r>
      <w:r>
        <w:rPr>
          <w:rFonts w:ascii="Consolas" w:hAnsi="Consolas"/>
          <w:sz w:val="20"/>
        </w:rPr>
        <w:t>hr/payroll</w:t>
      </w:r>
      <w:r>
        <w:t xml:space="preserve">, …) follows; see </w:t>
      </w:r>
      <w:hyperlink r:id="rId11">
        <w:r>
          <w:rPr>
            <w:color w:val="0563C1"/>
            <w:u w:val="single"/>
          </w:rPr>
          <w:t xml:space="preserve">`04-backend-development.md`</w:t>
        </w:r>
      </w:hyperlink>
      <w:r>
        <w:t xml:space="preserve"> for the module layout and </w:t>
      </w:r>
      <w:hyperlink r:id="rId12">
        <w:r>
          <w:rPr>
            <w:color w:val="0563C1"/>
            <w:u w:val="single"/>
          </w:rPr>
          <w:t xml:space="preserve">`06-api-design-and-documentation.md`</w:t>
        </w:r>
      </w:hyperlink>
      <w:r>
        <w:t xml:space="preserve"> for the API surface.</w:t>
      </w:r>
    </w:p>
    <w:p>
      <w:pPr>
        <w:pStyle w:val="Heading2"/>
      </w:pPr>
      <w:r>
        <w:t>Logical layers (present-day)</w:t>
      </w:r>
    </w:p>
    <w:p>
      <w:r>
        <w:rPr>
          <w:rFonts w:ascii="Consolas" w:hAnsi="Consolas"/>
          <w:sz w:val="19"/>
        </w:rPr>
        <w:t>┌─────────────────────────────┐     ┌─────────────────────────────┐</w:t>
      </w:r>
    </w:p>
    <w:p>
      <w:r>
        <w:rPr>
          <w:rFonts w:ascii="Consolas" w:hAnsi="Consolas"/>
          <w:sz w:val="19"/>
        </w:rPr>
        <w:t>│   apps/storefront (Next.js)  │     │    apps/admin (Next.js)      │</w:t>
      </w:r>
    </w:p>
    <w:p>
      <w:r>
        <w:rPr>
          <w:rFonts w:ascii="Consolas" w:hAnsi="Consolas"/>
          <w:sz w:val="19"/>
        </w:rPr>
        <w:t>│   (site)/(auth) route groups │     │    (admin) route group       │</w:t>
      </w:r>
    </w:p>
    <w:p>
      <w:r>
        <w:rPr>
          <w:rFonts w:ascii="Consolas" w:hAnsi="Consolas"/>
          <w:sz w:val="19"/>
        </w:rPr>
        <w:t>└──────────────┬────────────────┘     └──────────────┬────────────────┘</w:t>
      </w:r>
    </w:p>
    <w:p>
      <w:r>
        <w:rPr>
          <w:rFonts w:ascii="Consolas" w:hAnsi="Consolas"/>
          <w:sz w:val="19"/>
        </w:rPr>
        <w:t xml:space="preserve">               │  JSON over HTTP, JWT bearer token, CORS-restricted</w:t>
      </w:r>
    </w:p>
    <w:p>
      <w:r>
        <w:rPr>
          <w:rFonts w:ascii="Consolas" w:hAnsi="Consolas"/>
          <w:sz w:val="19"/>
        </w:rPr>
        <w:t xml:space="preserve">               ▼</w:t>
      </w:r>
    </w:p>
    <w:p>
      <w:r>
        <w:rPr>
          <w:rFonts w:ascii="Consolas" w:hAnsi="Consolas"/>
          <w:sz w:val="19"/>
        </w:rPr>
        <w:t>┌───────────────────────────────────────────────────────────────────┐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nsolas" w:hAnsi="Consolas"/>
          <w:sz w:val="19"/>
        </w:rPr>
        <w:t>│                     apps/api (NestJS + Fastify)                     │</w:t>
      </w:r>
    </w:p>
    <w:p>
      <w:r>
        <w:rPr>
          <w:rFonts w:ascii="Consolas" w:hAnsi="Consolas"/>
          <w:sz w:val="19"/>
        </w:rPr>
        <w:t>│  auth · catalog · cart · checkout · orders · inventory · crm ·      │</w:t>
      </w:r>
    </w:p>
    <w:p>
      <w:r>
        <w:rPr>
          <w:rFonts w:ascii="Consolas" w:hAnsi="Consolas"/>
          <w:sz w:val="19"/>
        </w:rPr>
        <w:t>│  marketing · cms · loyalty · support · admin-users · wishlist ·     │</w:t>
      </w:r>
    </w:p>
    <w:p>
      <w:r>
        <w:rPr>
          <w:rFonts w:ascii="Consolas" w:hAnsi="Consolas"/>
          <w:sz w:val="19"/>
        </w:rPr>
        <w:t>│  addresses · payment-methods · profile · account-settings ·         │</w:t>
      </w:r>
    </w:p>
    <w:p>
      <w:r>
        <w:rPr>
          <w:rFonts w:ascii="Consolas" w:hAnsi="Consolas"/>
          <w:sz w:val="19"/>
        </w:rPr>
        <w:t>│  account-notifications · chat · finance · marketplace · payments ·  │</w:t>
      </w:r>
    </w:p>
    <w:p>
      <w:r>
        <w:rPr>
          <w:rFonts w:ascii="Consolas" w:hAnsi="Consolas"/>
          <w:sz w:val="19"/>
        </w:rPr>
        <w:t>│  health · hr                                                        │</w:t>
      </w:r>
    </w:p>
    <w:p>
      <w:r>
        <w:rPr>
          <w:rFonts w:ascii="Consolas" w:hAnsi="Consolas"/>
          <w:sz w:val="19"/>
        </w:rPr>
        <w:t>│  JwtAuthGuard · RolesGuard(@Roles) · MustChangePasswordGuard(APP_GUARD) │</w:t>
      </w:r>
    </w:p>
    <w:p>
      <w:r>
        <w:rPr>
          <w:rFonts w:ascii="Consolas" w:hAnsi="Consolas"/>
          <w:sz w:val="19"/>
        </w:rPr>
        <w:t>└───────────────────────────────────┬─────────────────────────────────┘</w:t>
      </w:r>
    </w:p>
    <w:p>
      <w:r>
        <w:rPr>
          <w:rFonts w:ascii="Consolas" w:hAnsi="Consolas"/>
          <w:sz w:val="19"/>
        </w:rPr>
        <w:t xml:space="preserve">                                    │ Prisma Client</w:t>
      </w:r>
    </w:p>
    <w:p>
      <w:r>
        <w:rPr>
          <w:rFonts w:ascii="Consolas" w:hAnsi="Consolas"/>
          <w:sz w:val="19"/>
        </w:rPr>
        <w:t xml:space="preserve">                                    ▼</w:t>
      </w:r>
    </w:p>
    <w:p>
      <w:r>
        <w:rPr>
          <w:rFonts w:ascii="Consolas" w:hAnsi="Consolas"/>
          <w:sz w:val="19"/>
        </w:rPr>
        <w:t xml:space="preserve">                    ┌───────────────────────────────┐</w:t>
      </w:r>
    </w:p>
    <w:p>
      <w:r>
        <w:rPr>
          <w:rFonts w:ascii="Consolas" w:hAnsi="Consolas"/>
          <w:sz w:val="19"/>
        </w:rPr>
        <w:t xml:space="preserve">                    │  PostgreSQL 16 (schema.prisma)  │</w:t>
      </w:r>
    </w:p>
    <w:p>
      <w:r>
        <w:rPr>
          <w:rFonts w:ascii="Consolas" w:hAnsi="Consolas"/>
          <w:sz w:val="19"/>
        </w:rPr>
        <w:t xml:space="preserve">                    └───────────────────────────────┘</w:t>
      </w:r>
    </w:p>
    <w:p>
      <w:r>
        <w:rPr>
          <w:rFonts w:ascii="Consolas" w:hAnsi="Consolas"/>
          <w:sz w:val="19"/>
        </w:rPr>
        <w:t xml:space="preserve">                    ┌───────────────────────────────┐</w:t>
      </w:r>
    </w:p>
    <w:p>
      <w:r>
        <w:rPr>
          <w:rFonts w:ascii="Consolas" w:hAnsi="Consolas"/>
          <w:sz w:val="19"/>
        </w:rPr>
        <w:t xml:space="preserve">                    │  Redis 7 (provisioned, not yet  │</w:t>
      </w:r>
    </w:p>
    <w:p>
      <w:r>
        <w:rPr>
          <w:rFonts w:ascii="Consolas" w:hAnsi="Consolas"/>
          <w:sz w:val="19"/>
        </w:rPr>
        <w:t xml:space="preserve">                    │  wired into application code)   │</w:t>
      </w:r>
    </w:p>
    <w:p>
      <w:r>
        <w:rPr>
          <w:rFonts w:ascii="Consolas" w:hAnsi="Consolas"/>
          <w:sz w:val="19"/>
        </w:rPr>
        <w:t xml:space="preserve">                    └───────────────────────────────┘</w:t>
      </w:r>
    </w:p>
    <w:p>
      <w:r>
        <w:t xml:space="preserve">Redis is running in </w:t>
      </w:r>
      <w:r>
        <w:rPr>
          <w:rFonts w:ascii="Consolas" w:hAnsi="Consolas"/>
          <w:sz w:val="20"/>
        </w:rPr>
        <w:t>docker-compose.yml</w:t>
      </w:r>
      <w:r>
        <w:t xml:space="preserve"> and referenced in </w:t>
      </w:r>
      <w:r>
        <w:rPr>
          <w:rFonts w:ascii="Consolas" w:hAnsi="Consolas"/>
          <w:sz w:val="20"/>
        </w:rPr>
        <w:t>.env.example</w:t>
      </w:r>
      <w:r>
        <w:t xml:space="preserve"> (</w:t>
      </w:r>
      <w:r>
        <w:rPr>
          <w:rFonts w:ascii="Consolas" w:hAnsi="Consolas"/>
          <w:sz w:val="20"/>
        </w:rPr>
        <w:t>REDIS_URL</w:t>
      </w:r>
      <w:r>
        <w:t xml:space="preserve">) but no module in </w:t>
      </w:r>
      <w:r>
        <w:rPr>
          <w:rFonts w:ascii="Consolas" w:hAnsi="Consolas"/>
          <w:sz w:val="20"/>
        </w:rPr>
        <w:t>apps/api/src</w:t>
      </w:r>
      <w:r>
        <w:t xml:space="preserve"> currently uses it — it is provisioned ahead of need (e.g. for a future rate-limit store, session cache, or job queue), not yet load-bearing.</w:t>
      </w:r>
    </w:p>
    <w:p>
      <w:pPr>
        <w:pStyle w:val="Heading2"/>
      </w:pPr>
      <w:r>
        <w:t>Production architecture (live today)</w:t>
      </w:r>
    </w:p>
    <w:p>
      <w:r>
        <w:t>ChrisPa moved beyond local development onto exactly the right-sized target below — managed platforms instead of a self-hosted edge, no Traefik/Ansible/containers required to get there:</w:t>
      </w:r>
    </w:p>
    <w:p>
      <w:r>
        <w:rPr>
          <w:rFonts w:ascii="Consolas" w:hAnsi="Consolas"/>
          <w:sz w:val="19"/>
        </w:rPr>
        <w:t>Internet</w:t>
      </w:r>
    </w:p>
    <w:p>
      <w:r>
        <w:rPr>
          <w:rFonts w:ascii="Consolas" w:hAnsi="Consolas"/>
          <w:sz w:val="19"/>
        </w:rPr>
        <w:t xml:space="preserve">  │</w:t>
      </w:r>
    </w:p>
    <w:p>
      <w:r>
        <w:rPr>
          <w:rFonts w:ascii="Consolas" w:hAnsi="Consolas"/>
          <w:sz w:val="19"/>
        </w:rPr>
        <w:t xml:space="preserve">  ├── https://chrispa-storefront.netlify.app  ──▶  Netlify: apps/storefront (Next.js build, managed TLS)</w:t>
      </w:r>
    </w:p>
    <w:p>
      <w:r>
        <w:rPr>
          <w:rFonts w:ascii="Consolas" w:hAnsi="Consolas"/>
          <w:sz w:val="19"/>
        </w:rPr>
        <w:t xml:space="preserve">  ├── https://chrispa.netlify.app              ──▶  Netlify: apps/admin (Next.js build, managed TLS)</w:t>
      </w:r>
    </w:p>
    <w:p>
      <w:r>
        <w:rPr>
          <w:rFonts w:ascii="Consolas" w:hAnsi="Consolas"/>
          <w:sz w:val="19"/>
        </w:rPr>
        <w:t xml:space="preserve">  │</w:t>
      </w:r>
    </w:p>
    <w:p>
      <w:r>
        <w:rPr>
          <w:rFonts w:ascii="Consolas" w:hAnsi="Consolas"/>
          <w:sz w:val="19"/>
        </w:rPr>
        <w:t xml:space="preserve">  │   both call, from the browser, via authedFetch()</w:t>
      </w:r>
    </w:p>
    <w:p>
      <w:r>
        <w:rPr>
          <w:rFonts w:ascii="Consolas" w:hAnsi="Consolas"/>
          <w:sz w:val="19"/>
        </w:rPr>
        <w:t xml:space="preserve">  ▼</w:t>
      </w:r>
    </w:p>
    <w:p>
      <w:r>
        <w:rPr>
          <w:rFonts w:ascii="Consolas" w:hAnsi="Consolas"/>
          <w:sz w:val="19"/>
        </w:rPr>
        <w:t>https://chrispa-api.onrender.com/api/v1  ──▶  Render: apps/api (Node buildpack, managed TLS)</w:t>
      </w:r>
    </w:p>
    <w:p>
      <w:r>
        <w:rPr>
          <w:rFonts w:ascii="Consolas" w:hAnsi="Consolas"/>
          <w:sz w:val="19"/>
        </w:rPr>
        <w:t xml:space="preserve">  │</w:t>
      </w:r>
    </w:p>
    <w:p>
      <w:r>
        <w:rPr>
          <w:rFonts w:ascii="Consolas" w:hAnsi="Consolas"/>
          <w:sz w:val="19"/>
        </w:rPr>
        <w:t xml:space="preserve">  ├──▶ Render Postgres "chrispa-postgres" (free plan — expires 90 days after creation unless upgraded)</w:t>
      </w:r>
    </w:p>
    <w:p>
      <w:r>
        <w:rPr>
          <w:rFonts w:ascii="Consolas" w:hAnsi="Consolas"/>
          <w:sz w:val="19"/>
        </w:rPr>
        <w:t xml:space="preserve">  ├──▶ Render Key Value "chrispa-redis"   (free plan, provisioned, not yet load-bearing — see below)</w:t>
      </w:r>
    </w:p>
    <w:p>
      <w:r>
        <w:rPr>
          <w:rFonts w:ascii="Consolas" w:hAnsi="Consolas"/>
          <w:sz w:val="19"/>
        </w:rPr>
        <w:t xml:space="preserve">  └──▶ apps/api/uploads/  (local disk on the Render instance — does not survive a redeploy; still the same</w:t>
      </w:r>
    </w:p>
    <w:p>
      <w:r>
        <w:rPr>
          <w:rFonts w:ascii="Consolas" w:hAnsi="Consolas"/>
          <w:sz w:val="19"/>
        </w:rPr>
        <w:t xml:space="preserve">                            gap noted in the local-dev section, now with a real consequence)</w:t>
      </w:r>
    </w:p>
    <w:p>
      <w:r>
        <w:t xml:space="preserve">Full env var and build/start-command detail lives in </w:t>
      </w:r>
      <w:hyperlink r:id="rId13">
        <w:r>
          <w:rPr>
            <w:color w:val="0563C1"/>
            <w:u w:val="single"/>
          </w:rPr>
          <w:t xml:space="preserve">`11-deployment-and-configuration-management.md`</w:t>
        </w:r>
      </w:hyperlink>
      <w:r>
        <w:t xml:space="preserve"> — this section is the topology, that one is the configuration. Notably: </w:t>
      </w:r>
      <w:r>
        <w:rPr>
          <w:b/>
        </w:rPr>
        <w:t>HTTPS/managed-cert (template §3's Traefik/Certbot line) is satisfied entirely by Render's and Netlify's built-in TLS</w:t>
      </w:r>
      <w:r>
        <w:t xml:space="preserve">, with zero self-hosted reverse-proxy work — see </w:t>
      </w:r>
      <w:hyperlink r:id="rId14">
        <w:r>
          <w:rPr>
            <w:color w:val="0563C1"/>
            <w:u w:val="single"/>
          </w:rPr>
          <w:t xml:space="preserve">`17-infrastructure-platform-roadmap.md`</w:t>
        </w:r>
      </w:hyperlink>
      <w:r>
        <w:t xml:space="preserve"> §17.3 for why that trigger fired and was satisfied this way rather than by standing up Traefik.</w:t>
      </w:r>
    </w:p>
    <w:p>
      <w:r>
        <w:t>*</w:t>
      </w:r>
      <w:r>
        <w:rPr>
          <w:i/>
        </w:rPr>
        <w:t xml:space="preserve">What production does </w:t>
      </w:r>
      <w:r>
        <w:t>not</w:t>
      </w:r>
      <w:r>
        <w:rPr>
          <w:i/>
        </w:rPr>
        <w:t xml:space="preserve"> yet have</w:t>
      </w:r>
      <w:r>
        <w:rPr>
          <w:i/>
        </w:rPr>
        <w:t xml:space="preserve">, relative to the local topology above: no staging environment, no CI gate before deploy (see </w:t>
      </w:r>
      <w:hyperlink r:id="rId15">
        <w:r>
          <w:rPr>
            <w:color w:val="0563C1"/>
            <w:u w:val="single"/>
          </w:rPr>
          <w:t xml:space="preserve">`08-source-code-management-and-cicd.md`</w:t>
        </w:r>
      </w:hyperlink>
      <w:r>
        <w:rPr>
          <w:i/>
        </w:rPr>
        <w:t xml:space="preserve">), no object storage for uploads (still local disk, now on an ephemeral platform instance instead of a developer's machine), and — the most user-visible gap — </w:t>
      </w:r>
      <w:r>
        <w:rPr>
          <w:i/>
        </w:rPr>
        <w:t>no working outbound email/SMS</w:t>
      </w:r>
      <w:r>
        <w:t xml:space="preserve">*, so registration OTP codes are generated but never delivered (see </w:t>
      </w:r>
      <w:hyperlink r:id="rId16">
        <w:r>
          <w:rPr>
            <w:color w:val="0563C1"/>
            <w:u w:val="single"/>
          </w:rPr>
          <w:t xml:space="preserve">`07-authentication-and-authorization.md`</w:t>
        </w:r>
      </w:hyperlink>
      <w:r>
        <w:t>).</w:t>
      </w:r>
    </w:p>
    <w:p>
      <w:pPr>
        <w:pStyle w:val="Heading2"/>
      </w:pPr>
      <w:r>
        <w:t>Target architecture (further out — not built)</w:t>
      </w:r>
    </w:p>
    <w:p>
      <w:r>
        <w:t>Beyond the managed-platform setup above, a fuller self-hosted-style target (only worth it past a scale where managed-platform pricing or control limitations start to bind) would look like:</w:t>
      </w:r>
    </w:p>
    <w:p>
      <w:r>
        <w:rPr>
          <w:rFonts w:ascii="Consolas" w:hAnsi="Consolas"/>
          <w:sz w:val="19"/>
        </w:rPr>
        <w:t>Internet</w:t>
      </w:r>
    </w:p>
    <w:p>
      <w:r>
        <w:rPr>
          <w:rFonts w:ascii="Consolas" w:hAnsi="Consolas"/>
          <w:sz w:val="19"/>
        </w:rPr>
        <w:t xml:space="preserve">  │</w:t>
      </w:r>
    </w:p>
    <w:p>
      <w:r>
        <w:rPr>
          <w:rFonts w:ascii="Consolas" w:hAnsi="Consolas"/>
          <w:sz w:val="19"/>
        </w:rPr>
        <w:t xml:space="preserve">  ▼</w:t>
      </w:r>
    </w:p>
    <w:p>
      <w:r>
        <w:rPr>
          <w:rFonts w:ascii="Consolas" w:hAnsi="Consolas"/>
          <w:sz w:val="19"/>
        </w:rPr>
        <w:t>Managed DNS + HTTPS (managed cert, e.g. platform-provided TLS or Certbot on a single edge host)</w:t>
      </w:r>
    </w:p>
    <w:p>
      <w:r>
        <w:rPr>
          <w:rFonts w:ascii="Consolas" w:hAnsi="Consolas"/>
          <w:sz w:val="19"/>
        </w:rPr>
        <w:t xml:space="preserve">  │</w:t>
      </w:r>
    </w:p>
    <w:p>
      <w:r>
        <w:rPr>
          <w:rFonts w:ascii="Consolas" w:hAnsi="Consolas"/>
          <w:sz w:val="19"/>
        </w:rPr>
        <w:t xml:space="preserve">  ▼</w:t>
      </w:r>
    </w:p>
    <w:p>
      <w:r>
        <w:rPr>
          <w:rFonts w:ascii="Consolas" w:hAnsi="Consolas"/>
          <w:sz w:val="19"/>
        </w:rPr>
        <w:t>Reverse proxy / edge (a single Traefik or hosting-provider load balancer)</w:t>
      </w:r>
    </w:p>
    <w:p>
      <w:r>
        <w:rPr>
          <w:rFonts w:ascii="Consolas" w:hAnsi="Consolas"/>
          <w:sz w:val="19"/>
        </w:rPr>
        <w:t xml:space="preserve">  │</w:t>
      </w:r>
    </w:p>
    <w:p>
      <w:r>
        <w:rPr>
          <w:rFonts w:ascii="Consolas" w:hAnsi="Consolas"/>
          <w:sz w:val="19"/>
        </w:rPr>
        <w:t xml:space="preserve">  ├──▶ storefront (containerized Next.js)</w:t>
      </w:r>
    </w:p>
    <w:p>
      <w:r>
        <w:rPr>
          <w:rFonts w:ascii="Consolas" w:hAnsi="Consolas"/>
          <w:sz w:val="19"/>
        </w:rPr>
        <w:t xml:space="preserve">  ├──▶ admin (containerized Next.js, ideally on a restricted hostname/IP allowlist)</w:t>
      </w:r>
    </w:p>
    <w:p>
      <w:r>
        <w:rPr>
          <w:rFonts w:ascii="Consolas" w:hAnsi="Consolas"/>
          <w:sz w:val="19"/>
        </w:rPr>
        <w:t xml:space="preserve">  └──▶ api (containerized NestJS)</w:t>
      </w:r>
    </w:p>
    <w:p>
      <w:r>
        <w:rPr>
          <w:rFonts w:ascii="Consolas" w:hAnsi="Consolas"/>
          <w:sz w:val="19"/>
        </w:rPr>
        <w:t xml:space="preserve">          │</w:t>
      </w:r>
    </w:p>
    <w:p>
      <w:r>
        <w:rPr>
          <w:rFonts w:ascii="Consolas" w:hAnsi="Consolas"/>
          <w:sz w:val="19"/>
        </w:rPr>
        <w:t xml:space="preserve">          ├──▶ managed or self-hosted PostgreSQL (with automated backups)</w:t>
      </w:r>
    </w:p>
    <w:p>
      <w:r>
        <w:rPr>
          <w:rFonts w:ascii="Consolas" w:hAnsi="Consolas"/>
          <w:sz w:val="19"/>
        </w:rPr>
        <w:t xml:space="preserve">          └──▶ managed or self-hosted Redis</w:t>
      </w:r>
    </w:p>
    <w:p>
      <w:r>
        <w:t xml:space="preserve">This target does not require Ansible, WireGuard, LXC, or the template's collaboration tools (iRedMail, Zulip, Nextcloud) at ChrisPa's current scale — see </w:t>
      </w:r>
      <w:hyperlink r:id="rId14">
        <w:r>
          <w:rPr>
            <w:color w:val="0563C1"/>
            <w:u w:val="single"/>
          </w:rPr>
          <w:t xml:space="preserve">`17-infrastructure-platform-roadmap.md`</w:t>
        </w:r>
      </w:hyperlink>
      <w:r>
        <w:t xml:space="preserve"> for the reasoning and what would change that recommendation (e.g. hiring a dedicated ops function, or a compliance requirement for self-hosted email).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./12-observability-and-monitoring.docx" TargetMode="External"/><Relationship Id="rId10" Type="http://schemas.openxmlformats.org/officeDocument/2006/relationships/hyperlink" Target="./15-disaster-recovery.docx" TargetMode="External"/><Relationship Id="rId11" Type="http://schemas.openxmlformats.org/officeDocument/2006/relationships/hyperlink" Target="./04-backend-development.docx" TargetMode="External"/><Relationship Id="rId12" Type="http://schemas.openxmlformats.org/officeDocument/2006/relationships/hyperlink" Target="./06-api-design-and-documentation.docx" TargetMode="External"/><Relationship Id="rId13" Type="http://schemas.openxmlformats.org/officeDocument/2006/relationships/hyperlink" Target="./11-deployment-and-configuration-management.docx" TargetMode="External"/><Relationship Id="rId14" Type="http://schemas.openxmlformats.org/officeDocument/2006/relationships/hyperlink" Target="./17-infrastructure-platform-roadmap.docx" TargetMode="External"/><Relationship Id="rId15" Type="http://schemas.openxmlformats.org/officeDocument/2006/relationships/hyperlink" Target="./08-source-code-management-and-cicd.docx" TargetMode="External"/><Relationship Id="rId16" Type="http://schemas.openxmlformats.org/officeDocument/2006/relationships/hyperlink" Target="./07-authentication-and-authorization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02. System Architecture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