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10. Security Architecture</w:t>
      </w:r>
    </w:p>
    <w:p>
      <w:r>
        <w:t>Adapts template §20, checked against what's actually implemented.</w:t>
      </w:r>
    </w:p>
    <w:p>
      <w:pPr>
        <w:pStyle w:val="Heading2"/>
      </w:pPr>
      <w:r>
        <w:t>What's real today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</w:tr>
      <w:tr>
        <w:tc>
          <w:tcPr>
            <w:tcW w:type="dxa" w:w="4320"/>
          </w:tcPr>
          <w:p>
            <w:r>
              <w:t>Password hashing</w:t>
            </w:r>
          </w:p>
        </w:tc>
        <w:tc>
          <w:tcPr>
            <w:tcW w:type="dxa" w:w="4320"/>
          </w:tcPr>
          <w:p>
            <w:r>
              <w:t>bcrypt (correct algorithm for human-chosen secrets)</w:t>
            </w:r>
          </w:p>
        </w:tc>
      </w:tr>
      <w:tr>
        <w:tc>
          <w:tcPr>
            <w:tcW w:type="dxa" w:w="4320"/>
          </w:tcPr>
          <w:p>
            <w:r>
              <w:t>Refresh-token hashing</w:t>
            </w:r>
          </w:p>
        </w:tc>
        <w:tc>
          <w:tcPr>
            <w:tcW w:type="dxa" w:w="4320"/>
          </w:tcPr>
          <w:p>
            <w:r>
              <w:t xml:space="preserve">SHA-256 — deliberately not bcrypt; see </w:t>
            </w:r>
            <w:hyperlink r:id="rId9">
              <w:r>
                <w:rPr>
                  <w:color w:val="0563C1"/>
                  <w:u w:val="single"/>
                </w:rPr>
                <w:t xml:space="preserve">`07-authentication-and-authorization.md`</w:t>
              </w:r>
            </w:hyperlink>
            <w:r>
              <w:t xml:space="preserve"> for why bcrypt would silently break rotation/revocation here</w:t>
            </w:r>
          </w:p>
        </w:tc>
      </w:tr>
      <w:tr>
        <w:tc>
          <w:tcPr>
            <w:tcW w:type="dxa" w:w="4320"/>
          </w:tcPr>
          <w:p>
            <w:r>
              <w:t>Least-privilege access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RolesGuard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@Roles()</w:t>
            </w:r>
            <w:r>
              <w:t xml:space="preserve"> on every admin/HR route, checked against </w:t>
            </w:r>
            <w:r>
              <w:rPr>
                <w:rFonts w:ascii="Consolas" w:hAnsi="Consolas"/>
                <w:sz w:val="20"/>
              </w:rPr>
              <w:t>UserRole</w:t>
            </w:r>
            <w:r>
              <w:t>; ownership checks (</w:t>
            </w:r>
            <w:r>
              <w:rPr>
                <w:rFonts w:ascii="Consolas" w:hAnsi="Consolas"/>
                <w:sz w:val="20"/>
              </w:rPr>
              <w:t>findFirst({ id, userId })</w:t>
            </w:r>
            <w:r>
              <w:t>) on every customer self-service write (wishlist, addresses, payment methods) before the row is touched — verified against a cross-user access attempt during testing</w:t>
            </w:r>
          </w:p>
        </w:tc>
      </w:tr>
      <w:tr>
        <w:tc>
          <w:tcPr>
            <w:tcW w:type="dxa" w:w="4320"/>
          </w:tcPr>
          <w:p>
            <w:r>
              <w:t>MFA</w:t>
            </w:r>
          </w:p>
        </w:tc>
        <w:tc>
          <w:tcPr>
            <w:tcW w:type="dxa" w:w="4320"/>
          </w:tcPr>
          <w:p>
            <w:r>
              <w:t>TOTP fully enforced at login when enabled (opt-in per user); WebAuthn/passkey login available as an alternative factor</w:t>
            </w:r>
          </w:p>
        </w:tc>
      </w:tr>
      <w:tr>
        <w:tc>
          <w:tcPr>
            <w:tcW w:type="dxa" w:w="4320"/>
          </w:tcPr>
          <w:p>
            <w:r>
              <w:t>Forced credential rotation</w:t>
            </w:r>
          </w:p>
        </w:tc>
        <w:tc>
          <w:tcPr>
            <w:tcW w:type="dxa" w:w="4320"/>
          </w:tcPr>
          <w:p>
            <w:r>
              <w:t xml:space="preserve">Staff-issued temp passwords force a change via </w:t>
            </w:r>
            <w:r>
              <w:rPr>
                <w:rFonts w:ascii="Consolas" w:hAnsi="Consolas"/>
                <w:sz w:val="20"/>
              </w:rPr>
              <w:t>mustChangePassword</w:t>
            </w:r>
            <w:r>
              <w:t xml:space="preserve">, enforced globally by </w:t>
            </w:r>
            <w:r>
              <w:rPr>
                <w:rFonts w:ascii="Consolas" w:hAnsi="Consolas"/>
                <w:sz w:val="20"/>
              </w:rPr>
              <w:t>MustChangePasswordGuard</w:t>
            </w:r>
          </w:p>
        </w:tc>
      </w:tr>
      <w:tr>
        <w:tc>
          <w:tcPr>
            <w:tcW w:type="dxa" w:w="4320"/>
          </w:tcPr>
          <w:p>
            <w:r>
              <w:t>Transport encryption</w:t>
            </w:r>
          </w:p>
        </w:tc>
        <w:tc>
          <w:tcPr>
            <w:tcW w:type="dxa" w:w="4320"/>
          </w:tcPr>
          <w:p>
            <w:r>
              <w:t xml:space="preserve">Not applicable in local dev (plain HTTP on </w:t>
            </w:r>
            <w:r>
              <w:rPr>
                <w:rFonts w:ascii="Consolas" w:hAnsi="Consolas"/>
                <w:sz w:val="20"/>
              </w:rPr>
              <w:t>localhost</w:t>
            </w:r>
            <w:r>
              <w:t>) — no TLS termination exists yet because nothing is deployed</w:t>
            </w:r>
          </w:p>
        </w:tc>
      </w:tr>
      <w:tr>
        <w:tc>
          <w:tcPr>
            <w:tcW w:type="dxa" w:w="4320"/>
          </w:tcPr>
          <w:p>
            <w:r>
              <w:t>Credential/secret storage in source</w:t>
            </w:r>
          </w:p>
        </w:tc>
        <w:tc>
          <w:tcPr>
            <w:tcW w:type="dxa" w:w="4320"/>
          </w:tcPr>
          <w:p>
            <w:r>
              <w:t xml:space="preserve">None committed — </w:t>
            </w:r>
            <w:r>
              <w:rPr>
                <w:rFonts w:ascii="Consolas" w:hAnsi="Consolas"/>
                <w:sz w:val="20"/>
              </w:rPr>
              <w:t>.env</w:t>
            </w:r>
            <w:r>
              <w:t xml:space="preserve"> files are gitignored; </w:t>
            </w:r>
            <w:r>
              <w:rPr>
                <w:rFonts w:ascii="Consolas" w:hAnsi="Consolas"/>
                <w:sz w:val="20"/>
              </w:rPr>
              <w:t>.env.example</w:t>
            </w:r>
            <w:r>
              <w:t xml:space="preserve"> documents required keys without real values</w:t>
            </w:r>
          </w:p>
        </w:tc>
      </w:tr>
      <w:tr>
        <w:tc>
          <w:tcPr>
            <w:tcW w:type="dxa" w:w="4320"/>
          </w:tcPr>
          <w:p>
            <w:r>
              <w:t>PCI scope avoidance</w:t>
            </w:r>
          </w:p>
        </w:tc>
        <w:tc>
          <w:tcPr>
            <w:tcW w:type="dxa" w:w="4320"/>
          </w:tcPr>
          <w:p>
            <w:r>
              <w:t xml:space="preserve">The API structurally cannot accept a raw card number — </w:t>
            </w:r>
            <w:r>
              <w:rPr>
                <w:rFonts w:ascii="Consolas" w:hAnsi="Consolas"/>
                <w:sz w:val="20"/>
              </w:rPr>
              <w:t>CARD</w:t>
            </w:r>
            <w:r>
              <w:t xml:space="preserve"> payment method type returns </w:t>
            </w:r>
            <w:r>
              <w:rPr>
                <w:rFonts w:ascii="Consolas" w:hAnsi="Consolas"/>
                <w:sz w:val="20"/>
              </w:rPr>
              <w:t>501</w:t>
            </w:r>
            <w:r>
              <w:t xml:space="preserve"> everywhere it's referenced, rather than building a form that collects one to nowhere</w:t>
            </w:r>
          </w:p>
        </w:tc>
      </w:tr>
      <w:tr>
        <w:tc>
          <w:tcPr>
            <w:tcW w:type="dxa" w:w="4320"/>
          </w:tcPr>
          <w:p>
            <w:r>
              <w:t>Auditability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ActivityLog</w:t>
            </w:r>
            <w:r>
              <w:t xml:space="preserve"> (see </w:t>
            </w:r>
            <w:hyperlink r:id="rId10">
              <w:r>
                <w:rPr>
                  <w:color w:val="0563C1"/>
                  <w:u w:val="single"/>
                </w:rPr>
                <w:t xml:space="preserve">`03-database-design.md`</w:t>
              </w:r>
            </w:hyperlink>
            <w:r>
              <w:t xml:space="preserve"> and </w:t>
            </w:r>
            <w:r>
              <w:rPr>
                <w:rFonts w:ascii="Consolas" w:hAnsi="Consolas"/>
                <w:sz w:val="20"/>
              </w:rPr>
              <w:t>docs/SRS.md</w:t>
            </w:r>
            <w:r>
              <w:t xml:space="preserve"> §19) — a unified log of both customer and staff actions, viewable at </w:t>
            </w:r>
            <w:r>
              <w:rPr>
                <w:rFonts w:ascii="Consolas" w:hAnsi="Consolas"/>
                <w:sz w:val="20"/>
              </w:rPr>
              <w:t>GET /admin/activity-log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OWNER</w:t>
            </w:r>
            <w:r>
              <w:t>-only). Wired into a representative cross-section of write paths (auth, checkout, product/order/employee writes), not yet every mutation — see SRS §19 AL-FR-2 for exactly what's covered and what isn't (user/role changes and inventory adjustments have no write endpoint to log against yet)</w:t>
            </w:r>
          </w:p>
        </w:tc>
      </w:tr>
      <w:tr>
        <w:tc>
          <w:tcPr>
            <w:tcW w:type="dxa" w:w="4320"/>
          </w:tcPr>
          <w:p>
            <w:r>
              <w:t>Financial data isolation</w:t>
            </w:r>
          </w:p>
        </w:tc>
        <w:tc>
          <w:tcPr>
            <w:tcW w:type="dxa" w:w="4320"/>
          </w:tcPr>
          <w:p>
            <w:r>
              <w:t>The entire Financial &amp; Accounting Management module (</w:t>
            </w:r>
            <w:r>
              <w:rPr>
                <w:rFonts w:ascii="Consolas" w:hAnsi="Consolas"/>
                <w:sz w:val="20"/>
              </w:rPr>
              <w:t>/admin/finance/*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docs/SRS.md</w:t>
            </w:r>
            <w:r>
              <w:t xml:space="preserve"> §20) is </w:t>
            </w:r>
            <w:r>
              <w:rPr>
                <w:rFonts w:ascii="Consolas" w:hAnsi="Consolas"/>
                <w:sz w:val="20"/>
              </w:rPr>
              <w:t>OWNER</w:t>
            </w:r>
            <w:r>
              <w:t xml:space="preserve">-only — group-wide ledger/consolidation data doesn't belong to any single operational department, so it's scoped tighter than every other admin surface except </w:t>
            </w:r>
            <w:r>
              <w:rPr>
                <w:rFonts w:ascii="Consolas" w:hAnsi="Consolas"/>
                <w:sz w:val="20"/>
              </w:rPr>
              <w:t>/admin/users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/admin/activity-log</w:t>
            </w:r>
            <w:r>
              <w:t xml:space="preserve">. Every journal posting is also captured in </w:t>
            </w:r>
            <w:r>
              <w:rPr>
                <w:rFonts w:ascii="Consolas" w:hAnsi="Consolas"/>
                <w:sz w:val="20"/>
              </w:rPr>
              <w:t>ActivityLog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JOURNAL_ENTRY_POSTED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Payment gateway signature verification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POST /payments/flutterwave/webhook</w:t>
            </w:r>
            <w:r>
              <w:t xml:space="preserve"> is necessarily unauthenticated (Flutterwave can't present a ChrisPa JWT) but never trusts the request body's stated payment status alone — it checks the </w:t>
            </w:r>
            <w:r>
              <w:rPr>
                <w:rFonts w:ascii="Consolas" w:hAnsi="Consolas"/>
                <w:sz w:val="20"/>
              </w:rPr>
              <w:t>verif-hash</w:t>
            </w:r>
            <w:r>
              <w:t xml:space="preserve"> header against </w:t>
            </w:r>
            <w:r>
              <w:rPr>
                <w:rFonts w:ascii="Consolas" w:hAnsi="Consolas"/>
                <w:sz w:val="20"/>
              </w:rPr>
              <w:t>FLUTTERWAVE_SECRET_HASH</w:t>
            </w:r>
            <w:r>
              <w:t>, then independently re-verifies the transaction server-to-server via Flutterwave's own API before acting on it (docs/SRS.md §21 PAY-FR-2)</w:t>
            </w:r>
          </w:p>
        </w:tc>
      </w:tr>
      <w:tr>
        <w:tc>
          <w:tcPr>
            <w:tcW w:type="dxa" w:w="4320"/>
          </w:tcPr>
          <w:p>
            <w:r>
              <w:t>PCI scope avoidance (payments)</w:t>
            </w:r>
          </w:p>
        </w:tc>
        <w:tc>
          <w:tcPr>
            <w:tcW w:type="dxa" w:w="4320"/>
          </w:tcPr>
          <w:p>
            <w:r>
              <w:t>Same stance as saved payment methods: ChrisPa's servers never receive a raw card number or Mobile Money PIN — Flutterwave's hosted checkout page collects it directly (docs/SRS.md §21 PAY-FR-1)</w:t>
            </w:r>
          </w:p>
        </w:tc>
      </w:tr>
      <w:tr>
        <w:tc>
          <w:tcPr>
            <w:tcW w:type="dxa" w:w="4320"/>
          </w:tcPr>
          <w:p>
            <w:r>
              <w:t>No third-party data sharing (ChrisPa Agent)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POST /chat/message</w:t>
            </w:r>
            <w:r>
              <w:t xml:space="preserve"> (docs/SRS.md FR-7.1) is a local, keyword-matched FAQ bot (</w:t>
            </w:r>
            <w:r>
              <w:rPr>
                <w:rFonts w:ascii="Consolas" w:hAnsi="Consolas"/>
                <w:sz w:val="20"/>
              </w:rPr>
              <w:t>ChatService.reply()</w:t>
            </w:r>
            <w:r>
              <w:t xml:space="preserve">) — visitor messages never leave ChrisPa's own infrastructure. An earlier version of this endpoint called Anthropic's Claude API to generate replies (which </w:t>
            </w:r>
            <w:r>
              <w:rPr>
                <w:i/>
              </w:rPr>
              <w:t>did</w:t>
            </w:r>
            <w:r>
              <w:t xml:space="preserve"> forward the visitor's typed message to a third party); that integration was deliberately removed and replaced with the local keyword matcher per explicit user decision (no external service, no credentials, no cost), so this row is now a "doesn't apply" rather than a "scoped carefully" note. </w:t>
            </w:r>
            <w:r>
              <w:rPr>
                <w:rFonts w:ascii="Consolas" w:hAnsi="Consolas"/>
                <w:sz w:val="20"/>
              </w:rPr>
              <w:t>@anthropic-ai/sdk</w:t>
            </w:r>
            <w:r>
              <w:t xml:space="preserve"> is no longer a dependency</w:t>
            </w:r>
          </w:p>
        </w:tc>
      </w:tr>
    </w:tbl>
    <w:p>
      <w:pPr>
        <w:pStyle w:val="Heading2"/>
      </w:pPr>
      <w:r>
        <w:t>Gaps against the template's §20 checklist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Template 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ChrisPa state</w:t>
            </w:r>
          </w:p>
        </w:tc>
      </w:tr>
      <w:tr>
        <w:tc>
          <w:tcPr>
            <w:tcW w:type="dxa" w:w="4320"/>
          </w:tcPr>
          <w:p>
            <w:r>
              <w:t>Use HTTPS for web applications</w:t>
            </w:r>
          </w:p>
        </w:tc>
        <w:tc>
          <w:tcPr>
            <w:tcW w:type="dxa" w:w="4320"/>
          </w:tcPr>
          <w:p>
            <w:r>
              <w:t xml:space="preserve">Not applicable yet — nothing is internet-facing. </w:t>
            </w:r>
            <w:r>
              <w:rPr>
                <w:b/>
              </w:rPr>
              <w:t>Required before any real deployment</w:t>
            </w:r>
            <w:r>
              <w:t xml:space="preserve"> — see </w:t>
            </w:r>
            <w:hyperlink r:id="rId11">
              <w:r>
                <w:rPr>
                  <w:color w:val="0563C1"/>
                  <w:u w:val="single"/>
                </w:rPr>
                <w:t xml:space="preserve">`17-infrastructure-platform-roadmap.md`</w:t>
              </w:r>
            </w:hyperlink>
            <w:r>
              <w:t xml:space="preserve"> for the Traefik/Certbot recommendation</w:t>
            </w:r>
          </w:p>
        </w:tc>
      </w:tr>
      <w:tr>
        <w:tc>
          <w:tcPr>
            <w:tcW w:type="dxa" w:w="4320"/>
          </w:tcPr>
          <w:p>
            <w:r>
              <w:t>Restrict management interfaces to trusted networks or WireGuard</w:t>
            </w:r>
          </w:p>
        </w:tc>
        <w:tc>
          <w:tcPr>
            <w:tcW w:type="dxa" w:w="4320"/>
          </w:tcPr>
          <w:p>
            <w:r>
              <w:t>Not implemented — the admin console has no network-level restriction, only role-based auth. Acceptable for now (no deployment exists to restrict); revisit before the admin console is internet-facing</w:t>
            </w:r>
          </w:p>
        </w:tc>
      </w:tr>
      <w:tr>
        <w:tc>
          <w:tcPr>
            <w:tcW w:type="dxa" w:w="4320"/>
          </w:tcPr>
          <w:p>
            <w:r>
              <w:t>Apply least-privilege permissions</w:t>
            </w:r>
          </w:p>
        </w:tc>
        <w:tc>
          <w:tcPr>
            <w:tcW w:type="dxa" w:w="4320"/>
          </w:tcPr>
          <w:p>
            <w:r>
              <w:t xml:space="preserve">Substantially implemented (see above); the one documented exception is the local dev DB using a single non-superuser-but-shared role rather than per-purpose roles — see </w:t>
            </w:r>
            <w:hyperlink r:id="rId10">
              <w:r>
                <w:rPr>
                  <w:color w:val="0563C1"/>
                  <w:u w:val="single"/>
                </w:rPr>
                <w:t xml:space="preserve">`03-database-design.md`</w:t>
              </w:r>
            </w:hyperlink>
          </w:p>
        </w:tc>
      </w:tr>
      <w:tr>
        <w:tc>
          <w:tcPr>
            <w:tcW w:type="dxa" w:w="4320"/>
          </w:tcPr>
          <w:p>
            <w:r>
              <w:t>Use MFA where supported</w:t>
            </w:r>
          </w:p>
        </w:tc>
        <w:tc>
          <w:tcPr>
            <w:tcW w:type="dxa" w:w="4320"/>
          </w:tcPr>
          <w:p>
            <w:r>
              <w:t>Available (TOTP, WebAuthn) but opt-in, not required for privileged (</w:t>
            </w:r>
            <w:r>
              <w:rPr>
                <w:rFonts w:ascii="Consolas" w:hAnsi="Consolas"/>
                <w:sz w:val="20"/>
              </w:rPr>
              <w:t>OWNER</w:t>
            </w:r>
            <w:r>
              <w:t>/</w:t>
            </w:r>
            <w:r>
              <w:rPr>
                <w:rFonts w:ascii="Consolas" w:hAnsi="Consolas"/>
                <w:sz w:val="20"/>
              </w:rPr>
              <w:t>HR_MANAGER</w:t>
            </w:r>
            <w:r>
              <w:t>) roles specifically</w:t>
            </w:r>
          </w:p>
        </w:tc>
      </w:tr>
      <w:tr>
        <w:tc>
          <w:tcPr>
            <w:tcW w:type="dxa" w:w="4320"/>
          </w:tcPr>
          <w:p>
            <w:r>
              <w:t>Patch operating systems, containers, libraries, applications regularly</w:t>
            </w:r>
          </w:p>
        </w:tc>
        <w:tc>
          <w:tcPr>
            <w:tcW w:type="dxa" w:w="4320"/>
          </w:tcPr>
          <w:p>
            <w:r>
              <w:t xml:space="preserve">No process exists yet — no scheduled dependency-update review. See </w:t>
            </w:r>
            <w:hyperlink r:id="rId12">
              <w:r>
                <w:rPr>
                  <w:color w:val="0563C1"/>
                  <w:u w:val="single"/>
                </w:rPr>
                <w:t xml:space="preserve">`14-maintenance-and-upgrade-procedures.md`</w:t>
              </w:r>
            </w:hyperlink>
            <w:r>
              <w:t xml:space="preserve"> for the recommended cadence</w:t>
            </w:r>
          </w:p>
        </w:tc>
      </w:tr>
      <w:tr>
        <w:tc>
          <w:tcPr>
            <w:tcW w:type="dxa" w:w="4320"/>
          </w:tcPr>
          <w:p>
            <w:r>
              <w:t>Rotate credentials and revoke inactive accounts</w:t>
            </w:r>
          </w:p>
        </w:tc>
        <w:tc>
          <w:tcPr>
            <w:tcW w:type="dxa" w:w="4320"/>
          </w:tcPr>
          <w:p>
            <w:r>
              <w:t>Refresh-token revocation works (logout, and implicitly via rotation); there is no scheduled review of dormant staff accounts</w:t>
            </w:r>
          </w:p>
        </w:tc>
      </w:tr>
      <w:tr>
        <w:tc>
          <w:tcPr>
            <w:tcW w:type="dxa" w:w="4320"/>
          </w:tcPr>
          <w:p>
            <w:r>
              <w:t>Back up secrets securely and separately from application source code</w:t>
            </w:r>
          </w:p>
        </w:tc>
        <w:tc>
          <w:tcPr>
            <w:tcW w:type="dxa" w:w="4320"/>
          </w:tcPr>
          <w:p>
            <w:r>
              <w:t xml:space="preserve">Secrets exist only as local </w:t>
            </w:r>
            <w:r>
              <w:rPr>
                <w:rFonts w:ascii="Consolas" w:hAnsi="Consolas"/>
                <w:sz w:val="20"/>
              </w:rPr>
              <w:t>.env</w:t>
            </w:r>
            <w:r>
              <w:t xml:space="preserve"> files with no backup at all today — same gap as data backups, see </w:t>
            </w:r>
            <w:hyperlink r:id="rId13">
              <w:r>
                <w:rPr>
                  <w:color w:val="0563C1"/>
                  <w:u w:val="single"/>
                </w:rPr>
                <w:t xml:space="preserve">`15-disaster-recovery.md`</w:t>
              </w:r>
            </w:hyperlink>
          </w:p>
        </w:tc>
      </w:tr>
    </w:tbl>
    <w:p>
      <w:pPr>
        <w:pStyle w:val="Heading2"/>
      </w:pPr>
      <w:r>
        <w:t>Frontend token storage — a known, accepted trade-off</w:t>
      </w:r>
    </w:p>
    <w:p>
      <w:r>
        <w:t xml:space="preserve">Both frontend apps store JWTs in </w:t>
      </w:r>
      <w:r>
        <w:rPr>
          <w:rFonts w:ascii="Consolas" w:hAnsi="Consolas"/>
          <w:sz w:val="20"/>
        </w:rPr>
        <w:t>localStorage</w:t>
      </w:r>
      <w:r>
        <w:t xml:space="preserve"> (see </w:t>
      </w:r>
      <w:hyperlink r:id="rId14">
        <w:r>
          <w:rPr>
            <w:color w:val="0563C1"/>
            <w:u w:val="single"/>
          </w:rPr>
          <w:t xml:space="preserve">`05-frontend-architecture.md`</w:t>
        </w:r>
      </w:hyperlink>
      <w:r>
        <w:t xml:space="preserve">), which is readable by any script executing on the page — a real XSS-amplification risk. This is explicitly called out in </w:t>
      </w:r>
      <w:r>
        <w:rPr>
          <w:rFonts w:ascii="Consolas" w:hAnsi="Consolas"/>
          <w:sz w:val="20"/>
        </w:rPr>
        <w:t>lib/auth-client.ts</w:t>
      </w:r>
      <w:r>
        <w:t xml:space="preserve"> as a dev-time simplification. </w:t>
      </w:r>
      <w:r>
        <w:rPr>
          <w:b/>
        </w:rPr>
        <w:t>Before any production deployment</w:t>
      </w:r>
      <w:r>
        <w:t xml:space="preserve">, this should move to httpOnly, </w:t>
      </w:r>
      <w:r>
        <w:rPr>
          <w:rFonts w:ascii="Consolas" w:hAnsi="Consolas"/>
          <w:sz w:val="20"/>
        </w:rPr>
        <w:t>Secure</w:t>
      </w:r>
      <w:r>
        <w:t xml:space="preserve">, </w:t>
      </w:r>
      <w:r>
        <w:rPr>
          <w:rFonts w:ascii="Consolas" w:hAnsi="Consolas"/>
          <w:sz w:val="20"/>
        </w:rPr>
        <w:t>SameSite</w:t>
      </w:r>
      <w:r>
        <w:t xml:space="preserve"> cookies set by a server-side route handler, closing the main practical risk this document can point at with a concrete fix.</w:t>
      </w:r>
    </w:p>
    <w:p>
      <w:pPr>
        <w:pStyle w:val="Heading2"/>
      </w:pPr>
      <w:r>
        <w:t>Recommended pre-production security checklist</w:t>
      </w:r>
    </w:p>
    <w:p>
      <w:r>
        <w:t>Adapting the template's Final Implementation Checklist (§30) to items that are actually relevant at ChrisPa's scale:</w:t>
      </w:r>
    </w:p>
    <w:p>
      <w:pPr>
        <w:pStyle w:val="ListBullet"/>
      </w:pPr>
      <w:r>
        <w:t xml:space="preserve">☐ Move frontend token storage from </w:t>
      </w:r>
      <w:r>
        <w:rPr>
          <w:rFonts w:ascii="Consolas" w:hAnsi="Consolas"/>
          <w:sz w:val="20"/>
        </w:rPr>
        <w:t>localStorage</w:t>
      </w:r>
      <w:r>
        <w:t xml:space="preserve"> to httpOnly cookies</w:t>
      </w:r>
    </w:p>
    <w:p>
      <w:pPr>
        <w:pStyle w:val="ListBullet"/>
      </w:pPr>
      <w:r>
        <w:t xml:space="preserve">☐ TLS/HTTPS on any internet-facing endpoint (see </w:t>
      </w:r>
      <w:hyperlink r:id="rId11">
        <w:r>
          <w:rPr>
            <w:color w:val="0563C1"/>
            <w:u w:val="single"/>
          </w:rPr>
          <w:t xml:space="preserve">`17-infrastructure-platform-roadmap.md`</w:t>
        </w:r>
      </w:hyperlink>
      <w:r>
        <w:t>)</w:t>
      </w:r>
    </w:p>
    <w:p>
      <w:pPr>
        <w:pStyle w:val="ListBullet"/>
      </w:pPr>
      <w:r>
        <w:t xml:space="preserve">☐ Secrets moved out of plain </w:t>
      </w:r>
      <w:r>
        <w:rPr>
          <w:rFonts w:ascii="Consolas" w:hAnsi="Consolas"/>
          <w:sz w:val="20"/>
        </w:rPr>
        <w:t>.env</w:t>
      </w:r>
      <w:r>
        <w:t xml:space="preserve"> into a managed secret mechanism appropriate to the chosen host</w:t>
      </w:r>
    </w:p>
    <w:p>
      <w:pPr>
        <w:pStyle w:val="ListBullet"/>
      </w:pPr>
      <w:r>
        <w:t>☐ Separate least-privilege database role for the application vs. migrations</w:t>
      </w:r>
    </w:p>
    <w:p>
      <w:pPr>
        <w:pStyle w:val="ListBullet"/>
      </w:pPr>
      <w:r>
        <w:t>☐ Dependency vulnerability scan wired into CI once CI exists (</w:t>
      </w:r>
      <w:r>
        <w:rPr>
          <w:rFonts w:ascii="Consolas" w:hAnsi="Consolas"/>
          <w:sz w:val="20"/>
        </w:rPr>
        <w:t>npm audit</w:t>
      </w:r>
      <w:r>
        <w:t xml:space="preserve"> at minimum)</w:t>
      </w:r>
    </w:p>
    <w:p>
      <w:pPr>
        <w:pStyle w:val="ListBullet"/>
      </w:pPr>
      <w:r>
        <w:t xml:space="preserve">☐ MFA required (not just available) for </w:t>
      </w:r>
      <w:r>
        <w:rPr>
          <w:rFonts w:ascii="Consolas" w:hAnsi="Consolas"/>
          <w:sz w:val="20"/>
        </w:rPr>
        <w:t>OWNER</w:t>
      </w:r>
      <w:r>
        <w:t>/</w:t>
      </w:r>
      <w:r>
        <w:rPr>
          <w:rFonts w:ascii="Consolas" w:hAnsi="Consolas"/>
          <w:sz w:val="20"/>
        </w:rPr>
        <w:t>HR_MANAGER</w:t>
      </w:r>
      <w:r>
        <w:t xml:space="preserve"> roles</w:t>
      </w:r>
    </w:p>
    <w:p>
      <w:pPr>
        <w:pStyle w:val="ListBullet"/>
      </w:pPr>
      <w:r>
        <w:t xml:space="preserve">☐ Backups exist and are encrypted at rest (see </w:t>
      </w:r>
      <w:hyperlink r:id="rId13">
        <w:r>
          <w:rPr>
            <w:color w:val="0563C1"/>
            <w:u w:val="single"/>
          </w:rPr>
          <w:t xml:space="preserve">`15-disaster-recovery.md`</w:t>
        </w:r>
      </w:hyperlink>
      <w:r>
        <w:t>)</w:t>
      </w:r>
    </w:p>
    <w:p>
      <w:pPr>
        <w:pStyle w:val="ListBullet"/>
      </w:pPr>
      <w:r>
        <w:t xml:space="preserve">☐ Real Flutterwave </w:t>
      </w:r>
      <w:r>
        <w:rPr>
          <w:b/>
        </w:rPr>
        <w:t>live</w:t>
      </w:r>
      <w:r>
        <w:t xml:space="preserve"> credentials (not test/sandbox) set in production </w:t>
      </w:r>
      <w:r>
        <w:rPr>
          <w:rFonts w:ascii="Consolas" w:hAnsi="Consolas"/>
          <w:sz w:val="20"/>
        </w:rPr>
        <w:t>.env</w:t>
      </w:r>
      <w:r>
        <w:t xml:space="preserve">, and </w:t>
      </w:r>
      <w:r>
        <w:rPr>
          <w:rFonts w:ascii="Consolas" w:hAnsi="Consolas"/>
          <w:sz w:val="20"/>
        </w:rPr>
        <w:t>FLUTTERWAVE_SECRET_HASH</w:t>
      </w:r>
      <w:r>
        <w:t xml:space="preserve"> configured to match the value entered in the Flutterwave dashboard's webhook settings — both are still placeholder values in this repo's </w:t>
      </w:r>
      <w:r>
        <w:rPr>
          <w:rFonts w:ascii="Consolas" w:hAnsi="Consolas"/>
          <w:sz w:val="20"/>
        </w:rPr>
        <w:t>apps/api/.env</w:t>
      </w:r>
      <w:r>
        <w:t>/</w:t>
      </w:r>
      <w:r>
        <w:rPr>
          <w:rFonts w:ascii="Consolas" w:hAnsi="Consolas"/>
          <w:sz w:val="20"/>
        </w:rPr>
        <w:t>.env.example</w:t>
      </w:r>
    </w:p>
    <w:p>
      <w:pPr>
        <w:pStyle w:val="ListBullet"/>
      </w:pPr>
      <w:r>
        <w:t xml:space="preserve">☑ ChrisPa Agent (docs/SRS.md FR-7.1) needs no production credential — it's a local keyword-matched FAQ bot, not an LLM integration; the earlier </w:t>
      </w:r>
      <w:r>
        <w:rPr>
          <w:rFonts w:ascii="Consolas" w:hAnsi="Consolas"/>
          <w:sz w:val="20"/>
        </w:rPr>
        <w:t>ANTHROPIC_API_KEY</w:t>
      </w:r>
      <w:r>
        <w:t xml:space="preserve"> requirement no longer applies (see the "No third-party data sharing" row above)</w:t>
      </w:r>
    </w:p>
    <w:p>
      <w:pPr>
        <w:pStyle w:val="ListBullet"/>
      </w:pPr>
      <w:r>
        <w:t xml:space="preserve">☑ Rate limiting — already wired up: </w:t>
      </w:r>
      <w:r>
        <w:rPr>
          <w:rFonts w:ascii="Consolas" w:hAnsi="Consolas"/>
          <w:sz w:val="20"/>
        </w:rPr>
        <w:t>ThrottlerModule.forRoot([{ ttl: 60_000, limit: 100 }])</w:t>
      </w:r>
      <w:r>
        <w:t xml:space="preserve"> is a global </w:t>
      </w:r>
      <w:r>
        <w:rPr>
          <w:rFonts w:ascii="Consolas" w:hAnsi="Consolas"/>
          <w:sz w:val="20"/>
        </w:rPr>
        <w:t>APP_GUARD</w:t>
      </w:r>
      <w:r>
        <w:t xml:space="preserve"> in </w:t>
      </w:r>
      <w:r>
        <w:rPr>
          <w:rFonts w:ascii="Consolas" w:hAnsi="Consolas"/>
          <w:sz w:val="20"/>
        </w:rPr>
        <w:t>app.module.ts</w:t>
      </w:r>
      <w:r>
        <w:t xml:space="preserve">, and </w:t>
      </w:r>
      <w:r>
        <w:rPr>
          <w:rFonts w:ascii="Consolas" w:hAnsi="Consolas"/>
          <w:sz w:val="20"/>
        </w:rPr>
        <w:t>auth.controller.ts</w:t>
      </w:r>
      <w:r>
        <w:t>/</w:t>
      </w:r>
      <w:r>
        <w:rPr>
          <w:rFonts w:ascii="Consolas" w:hAnsi="Consolas"/>
          <w:sz w:val="20"/>
        </w:rPr>
        <w:t>webauthn.controller.ts</w:t>
      </w:r>
      <w:r>
        <w:t xml:space="preserve"> additionally apply a tighter </w:t>
      </w:r>
      <w:r>
        <w:rPr>
          <w:rFonts w:ascii="Consolas" w:hAnsi="Consolas"/>
          <w:sz w:val="20"/>
        </w:rPr>
        <w:t>@Throttle(AUTH_THROTTLE)</w:t>
      </w:r>
      <w:r>
        <w:t xml:space="preserve"> on register/login/2FA endpoints specifically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07-authentication-and-authorization.docx" TargetMode="External"/><Relationship Id="rId10" Type="http://schemas.openxmlformats.org/officeDocument/2006/relationships/hyperlink" Target="./03-database-design.docx" TargetMode="External"/><Relationship Id="rId11" Type="http://schemas.openxmlformats.org/officeDocument/2006/relationships/hyperlink" Target="./17-infrastructure-platform-roadmap.docx" TargetMode="External"/><Relationship Id="rId12" Type="http://schemas.openxmlformats.org/officeDocument/2006/relationships/hyperlink" Target="./14-maintenance-and-upgrade-procedures.docx" TargetMode="External"/><Relationship Id="rId13" Type="http://schemas.openxmlformats.org/officeDocument/2006/relationships/hyperlink" Target="./15-disaster-recovery.docx" TargetMode="External"/><Relationship Id="rId14" Type="http://schemas.openxmlformats.org/officeDocument/2006/relationships/hyperlink" Target="./05-frontend-architectur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Security Architecture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