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23. Data Dictionary</w:t>
      </w:r>
    </w:p>
    <w:p>
      <w:r>
        <w:t xml:space="preserve">Full field-by-field reference for every model and enum in </w:t>
      </w:r>
      <w:r>
        <w:rPr>
          <w:rFonts w:ascii="Consolas" w:hAnsi="Consolas"/>
          <w:sz w:val="20"/>
        </w:rPr>
        <w:t>apps/api/prisma/schema.prisma</w:t>
      </w:r>
      <w:r>
        <w:t xml:space="preserve">, grouped by the same domain sections as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's schema-inventory table. See also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how these models relate to each other.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3b5fc6a</w:t>
      </w:r>
      <w:r>
        <w:t xml:space="preserve"> (2026-08-16) — a point-in-time artifact, not auto-synced to the live schema; treat any discrepancy with the current </w:t>
      </w:r>
      <w:r>
        <w:rPr>
          <w:rFonts w:ascii="Consolas" w:hAnsi="Consolas"/>
          <w:sz w:val="20"/>
        </w:rPr>
        <w:t>schema.prisma</w:t>
      </w:r>
      <w:r>
        <w:t xml:space="preserve"> as this document having drifted, not the code being wrong.</w:t>
      </w:r>
    </w:p>
    <w:p>
      <w:r>
        <w:rPr>
          <w:b/>
        </w:rPr>
        <w:t>Conventions used throughout</w:t>
      </w:r>
      <w:r>
        <w:t xml:space="preserve"> (see </w:t>
      </w:r>
      <w:r>
        <w:rPr>
          <w:rFonts w:ascii="Consolas" w:hAnsi="Consolas"/>
          <w:sz w:val="20"/>
        </w:rPr>
        <w:t>schema.prisma</w:t>
      </w:r>
      <w:r>
        <w:t xml:space="preserve">'s own header comment and </w:t>
      </w:r>
      <w:r>
        <w:rPr>
          <w:rFonts w:ascii="Consolas" w:hAnsi="Consolas"/>
          <w:sz w:val="20"/>
        </w:rPr>
        <w:t>CLAUDE.md</w:t>
      </w:r>
      <w:r>
        <w:t>): every primary key is a client-generated UUID (</w:t>
      </w:r>
      <w:r>
        <w:rPr>
          <w:rFonts w:ascii="Consolas" w:hAnsi="Consolas"/>
          <w:sz w:val="20"/>
        </w:rPr>
        <w:t>id String @id @default(uuid())</w:t>
      </w:r>
      <w:r>
        <w:t xml:space="preserve">, omitted from "Notes" below unless it deviates); every </w:t>
      </w:r>
      <w:r>
        <w:rPr>
          <w:rFonts w:ascii="Consolas" w:hAnsi="Consolas"/>
          <w:sz w:val="20"/>
        </w:rPr>
        <w:t>DateTime</w:t>
      </w:r>
      <w:r>
        <w:t xml:space="preserve"> is stored </w:t>
      </w:r>
      <w:r>
        <w:rPr>
          <w:rFonts w:ascii="Consolas" w:hAnsi="Consolas"/>
          <w:sz w:val="20"/>
        </w:rPr>
        <w:t>@db.Timestamptz(3)</w:t>
      </w:r>
      <w:r>
        <w:t xml:space="preserve"> (UTC, never a timezone-naive </w:t>
      </w:r>
      <w:r>
        <w:rPr>
          <w:rFonts w:ascii="Consolas" w:hAnsi="Consolas"/>
          <w:sz w:val="20"/>
        </w:rPr>
        <w:t>timestamp</w:t>
      </w:r>
      <w:r>
        <w:t xml:space="preserve">); non-unique </w:t>
      </w:r>
      <w:r>
        <w:rPr>
          <w:rFonts w:ascii="Consolas" w:hAnsi="Consolas"/>
          <w:sz w:val="20"/>
        </w:rPr>
        <w:t>@@index</w:t>
      </w:r>
      <w:r>
        <w:t xml:space="preserve"> blocks exist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(Postgres doesn't add these automatically, unlike some other connectors) — index annotations are not repeated per-field below unless they're compound/notable.</w:t>
      </w:r>
    </w:p>
    <w:p>
      <w:pPr>
        <w:pStyle w:val="Heading2"/>
      </w:pPr>
      <w:r>
        <w:t>Identity &amp; auth</w:t>
      </w:r>
    </w:p>
    <w:p>
      <w:pPr>
        <w:pStyle w:val="Heading3"/>
      </w:pPr>
      <w:r>
        <w:t>User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nulled on delete (see </w:t>
            </w:r>
            <w:r>
              <w:rPr>
                <w:rFonts w:ascii="Consolas" w:hAnsi="Consolas"/>
                <w:sz w:val="20"/>
              </w:rPr>
              <w:t>deletedAt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nulled on delete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preferredName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avatarUrl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Pasted image URL — no upload/object-storage pipeline</w:t>
            </w:r>
          </w:p>
        </w:tc>
      </w:tr>
      <w:tr>
        <w:tc>
          <w:tcPr>
            <w:tcW w:type="dxa" w:w="1728"/>
          </w:tcPr>
          <w:p>
            <w:r>
              <w:t>passwordHash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for a Google-only account, or once deleted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wellnessPreferences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twoFactorEnabled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TOTP 2FA, enforced at login</w:t>
            </w:r>
          </w:p>
        </w:tc>
      </w:tr>
      <w:tr>
        <w:tc>
          <w:tcPr>
            <w:tcW w:type="dxa" w:w="1728"/>
          </w:tcPr>
          <w:p>
            <w:r>
              <w:t>twoFactorSecret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Encrypted at rest (AES-256-GCM) — verifying TOTP needs it back, so it can't be one-way hashed</w:t>
            </w:r>
          </w:p>
        </w:tc>
      </w:tr>
      <w:tr>
        <w:tc>
          <w:tcPr>
            <w:tcW w:type="dxa" w:w="1728"/>
          </w:tcPr>
          <w:p>
            <w:r>
              <w:t>biometricEnabled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True once ≥1 WebAuthnCredential exists</w:t>
            </w:r>
          </w:p>
        </w:tc>
      </w:tr>
      <w:tr>
        <w:tc>
          <w:tcPr>
            <w:tcW w:type="dxa" w:w="1728"/>
          </w:tcPr>
          <w:p>
            <w:r>
              <w:t>notifyOrderUpdatesSms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notifyOrderUpdatesEmail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notifyPromotions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notifyPush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notifyLoginAlerts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Delivered in-app only, no SMS/email provider</w:t>
            </w:r>
          </w:p>
        </w:tc>
      </w:tr>
      <w:tr>
        <w:tc>
          <w:tcPr>
            <w:tcW w:type="dxa" w:w="1728"/>
          </w:tcPr>
          <w:p>
            <w:r>
              <w:t>mustChangePassword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Set on staff temp-password issuance;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1728"/>
          </w:tcPr>
          <w:p>
            <w:r>
              <w:t>emailVerifiedAt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(email) is confirmed</w:t>
            </w:r>
          </w:p>
        </w:tc>
      </w:tr>
      <w:tr>
        <w:tc>
          <w:tcPr>
            <w:tcW w:type="dxa" w:w="1728"/>
          </w:tcPr>
          <w:p>
            <w:r>
              <w:t>phoneVerifiedAt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(SMS) is confirmed — SMS verification is temporarily excluded from the registration/login gate (sandbox-only Africa's Talking credentials), so this stays unset for most accounts today</w:t>
            </w:r>
          </w:p>
        </w:tc>
      </w:tr>
      <w:tr>
        <w:tc>
          <w:tcPr>
            <w:tcW w:type="dxa" w:w="1728"/>
          </w:tcPr>
          <w:p>
            <w:r>
              <w:t>googleId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set on first Google sign-in</w:t>
            </w:r>
          </w:p>
        </w:tc>
      </w:tr>
      <w:tr>
        <w:tc>
          <w:tcPr>
            <w:tcW w:type="dxa" w:w="1728"/>
          </w:tcPr>
          <w:p>
            <w:r>
              <w:t>suspendedAt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Admin-triggered, reversible hold — see </w:t>
            </w:r>
            <w:r>
              <w:rPr>
                <w:rFonts w:ascii="Consolas" w:hAnsi="Consolas"/>
                <w:sz w:val="20"/>
              </w:rPr>
              <w:t>CrmService.suspend()</w:t>
            </w:r>
            <w:r>
              <w:t xml:space="preserve">. Blocks login at </w:t>
            </w:r>
            <w:r>
              <w:rPr>
                <w:rFonts w:ascii="Consolas" w:hAnsi="Consolas"/>
                <w:sz w:val="20"/>
              </w:rPr>
              <w:t>completeLogin()</w:t>
            </w:r>
          </w:p>
        </w:tc>
      </w:tr>
      <w:tr>
        <w:tc>
          <w:tcPr>
            <w:tcW w:type="dxa" w:w="1728"/>
          </w:tcPr>
          <w:p>
            <w:r>
              <w:t>suspensionReason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shown in the admin audit log</w:t>
            </w:r>
          </w:p>
        </w:tc>
      </w:tr>
      <w:tr>
        <w:tc>
          <w:tcPr>
            <w:tcW w:type="dxa" w:w="1728"/>
          </w:tcPr>
          <w:p>
            <w:r>
              <w:t>deletedAt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Terminal — FR-17.4. Row survives, PII scrubbed</w:t>
            </w:r>
          </w:p>
        </w:tc>
      </w:tr>
      <w:tr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OFFLINE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only meaningful for </w:t>
            </w:r>
            <w:r>
              <w:rPr>
                <w:rFonts w:ascii="Consolas" w:hAnsi="Consolas"/>
                <w:sz w:val="20"/>
              </w:rPr>
              <w:t>role: DRIVER</w:t>
            </w:r>
            <w:r>
              <w:t xml:space="preserve">; self-reported via </w:t>
            </w:r>
            <w:r>
              <w:rPr>
                <w:rFonts w:ascii="Consolas" w:hAnsi="Consolas"/>
                <w:sz w:val="20"/>
              </w:rPr>
              <w:t>PATCH /driver/status</w:t>
            </w:r>
            <w:r>
              <w:t xml:space="preserve">, never derived from the driver's own </w:t>
            </w:r>
            <w:r>
              <w:rPr>
                <w:rFonts w:ascii="Consolas" w:hAnsi="Consolas"/>
                <w:sz w:val="20"/>
              </w:rPr>
              <w:t>Delivery</w:t>
            </w:r>
            <w:r>
              <w:t xml:space="preserve"> rows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@updatedAt</w:t>
            </w:r>
          </w:p>
        </w:tc>
      </w:tr>
    </w:tbl>
    <w:p>
      <w:pPr>
        <w:pStyle w:val="Heading3"/>
      </w:pPr>
      <w:r>
        <w:t>RefreshToken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tokenHash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>, not bcrypt — bcrypt truncates at 72 bytes and these JWTs share a long common prefix per-user, which silently defeated rotation/revocation before this was caught</w:t>
            </w:r>
          </w:p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revokedAt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 logout, refresh (rotation), or admin suspend/delete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revokedAt])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refresh()</w:t>
            </w:r>
            <w:r>
              <w:t>'s lookup</w:t>
            </w:r>
          </w:p>
        </w:tc>
      </w:tr>
    </w:tbl>
    <w:p>
      <w:pPr>
        <w:pStyle w:val="Heading3"/>
      </w:pPr>
      <w:r>
        <w:t>WebAuthnCredential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credentialId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publicKey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anything biometric itself — that never leaves the device</w:t>
            </w:r>
          </w:p>
        </w:tc>
      </w:tr>
      <w:tr>
        <w:tc>
          <w:tcPr>
            <w:tcW w:type="dxa" w:w="1728"/>
          </w:tcPr>
          <w:p>
            <w:r>
              <w:t>counter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Anti-replay counter</w:t>
            </w:r>
          </w:p>
        </w:tc>
      </w:tr>
      <w:tr>
        <w:tc>
          <w:tcPr>
            <w:tcW w:type="dxa" w:w="1728"/>
          </w:tcPr>
          <w:p>
            <w:r>
              <w:t>deviceLabel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lastUsedAt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LoginEvent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ipAddress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isNewDevice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Lightweight (ip, userAgent) fingerprint match, not rigorous device identity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Dismissal of the in-app alert banner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One row per completed login (not token refresh)</w:t>
            </w:r>
          </w:p>
        </w:tc>
      </w:tr>
    </w:tbl>
    <w:p>
      <w:pPr>
        <w:pStyle w:val="Heading3"/>
      </w:pPr>
      <w:r>
        <w:t>OtpCode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OtpChannel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EMAIL or SMS</w:t>
            </w:r>
          </w:p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OtpPurpose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REGISTRATION</w:t>
            </w:r>
          </w:p>
        </w:tc>
        <w:tc>
          <w:tcPr>
            <w:tcW w:type="dxa" w:w="1728"/>
          </w:tcPr>
          <w:p>
            <w:r>
              <w:t>Only value in use today</w:t>
            </w:r>
          </w:p>
        </w:tc>
      </w:tr>
      <w:tr>
        <w:tc>
          <w:tcPr>
            <w:tcW w:type="dxa" w:w="1728"/>
          </w:tcPr>
          <w:p>
            <w:r>
              <w:t>destination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 of the email/phone at issue time, not a live join to User</w:t>
            </w:r>
          </w:p>
        </w:tc>
      </w:tr>
      <w:tr>
        <w:tc>
          <w:tcPr>
            <w:tcW w:type="dxa" w:w="1728"/>
          </w:tcPr>
          <w:p>
            <w:r>
              <w:t>codeHash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 xml:space="preserve">, same convention as </w:t>
            </w:r>
            <w:r>
              <w:rPr>
                <w:rFonts w:ascii="Consolas" w:hAnsi="Consolas"/>
                <w:sz w:val="20"/>
              </w:rPr>
              <w:t>RefreshToken.tokenHash</w:t>
            </w:r>
          </w:p>
        </w:tc>
      </w:tr>
      <w:tr>
        <w:tc>
          <w:tcPr>
            <w:tcW w:type="dxa" w:w="1728"/>
          </w:tcPr>
          <w:p>
            <w:r>
              <w:t>attempts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Locks out at 5</w:t>
            </w:r>
          </w:p>
        </w:tc>
      </w:tr>
      <w:tr>
        <w:tc>
          <w:tcPr>
            <w:tcW w:type="dxa" w:w="1728"/>
          </w:tcPr>
          <w:p>
            <w:r>
              <w:t>consumedAt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OTP_TTL_MINUTES</w:t>
            </w:r>
            <w:r>
              <w:t>, default 10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channel, purpose])</w:t>
            </w:r>
          </w:p>
        </w:tc>
      </w:tr>
    </w:tbl>
    <w:p>
      <w:pPr>
        <w:pStyle w:val="Heading3"/>
      </w:pPr>
      <w:r>
        <w:t>Notification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NotificationType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NEWSLETTER</w:t>
            </w:r>
            <w:r>
              <w:t xml:space="preserve"> in use — deliberately generic for future reuse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Customer account</w:t>
      </w:r>
    </w:p>
    <w:p>
      <w:pPr>
        <w:pStyle w:val="Heading3"/>
      </w:pPr>
      <w:r>
        <w:t>Address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line1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"Kampala"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AddressType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SHIPPING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isDefault</w:t>
            </w:r>
            <w:r>
              <w:t xml:space="preserve"> is scoped per type — one default shipping, one default billing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PaymentMethod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PaymentMethodType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 xml:space="preserve"> fully supported;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rejected with 501</w:t>
            </w:r>
          </w:p>
        </w:tc>
      </w:tr>
      <w:tr>
        <w:tc>
          <w:tcPr>
            <w:tcW w:type="dxa" w:w="1728"/>
          </w:tcPr>
          <w:p>
            <w:r>
              <w:t>maskedIdentifier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gatewayToken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 raw card number — no PCI-DSS gateway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Single flag across all of a user's methods (unlike </w:t>
            </w:r>
            <w:r>
              <w:rPr>
                <w:rFonts w:ascii="Consolas" w:hAnsi="Consolas"/>
                <w:sz w:val="20"/>
              </w:rPr>
              <w:t>Address.isDefault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Catalog</w:t>
      </w:r>
    </w:p>
    <w:p>
      <w:pPr>
        <w:pStyle w:val="Heading3"/>
      </w:pPr>
      <w:r>
        <w:t>ProductLine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unitSize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WellnessTag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</w:tbl>
    <w:p>
      <w:pPr>
        <w:pStyle w:val="Heading3"/>
      </w:pPr>
      <w:r>
        <w:t>Product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productLineId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ProductLine</w:t>
            </w:r>
          </w:p>
        </w:tc>
      </w:tr>
      <w:tr>
        <w:tc>
          <w:tcPr>
            <w:tcW w:type="dxa" w:w="1728"/>
          </w:tcPr>
          <w:p>
            <w:r>
              <w:t>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null = ChrisPa's own product</w:t>
            </w:r>
          </w:p>
        </w:tc>
      </w:tr>
      <w:tr>
        <w:tc>
          <w:tcPr>
            <w:tcW w:type="dxa" w:w="1728"/>
          </w:tcPr>
          <w:p>
            <w:r>
              <w:t>costUgx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COGS basis; null skips COGS posting rather than assuming zero cost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Denormalized read cache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InventoryRecord</w:t>
            </w:r>
            <w:r>
              <w:t xml:space="preserve"> is the source of truth; nothing keeps this in sync automatically yet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ProductStatus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Archive, never hard-delete, once real order history exists</w:t>
            </w:r>
          </w:p>
        </w:tc>
      </w:tr>
      <w:tr>
        <w:tc>
          <w:tcPr>
            <w:tcW w:type="dxa" w:w="1728"/>
          </w:tcPr>
          <w:p>
            <w:r>
              <w:t>scentOrFlavorNotes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directions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healthBenefits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seoMeta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@@index([status, 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@@index([vendorId])</w:t>
            </w:r>
          </w:p>
        </w:tc>
      </w:tr>
    </w:tbl>
    <w:p>
      <w:pPr>
        <w:pStyle w:val="Heading3"/>
      </w:pPr>
      <w:r>
        <w:t>ProductWellnessTag</w:t>
      </w:r>
    </w:p>
    <w:p>
      <w:r>
        <w:t xml:space="preserve">Join table. Composite PK </w:t>
      </w:r>
      <w:r>
        <w:rPr>
          <w:rFonts w:ascii="Consolas" w:hAnsi="Consolas"/>
          <w:sz w:val="20"/>
        </w:rPr>
        <w:t>(productId, wellnessTagId)</w:t>
      </w:r>
      <w:r>
        <w:t>, both Cascade.</w:t>
      </w:r>
    </w:p>
    <w:p>
      <w:pPr>
        <w:pStyle w:val="Heading3"/>
      </w:pPr>
      <w:r>
        <w:t>ProductMedia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Real upload (</w:t>
            </w:r>
            <w:r>
              <w:rPr>
                <w:rFonts w:ascii="Consolas" w:hAnsi="Consolas"/>
                <w:sz w:val="20"/>
              </w:rPr>
              <w:t>POST /admin/products/media/upload</w:t>
            </w:r>
            <w:r>
              <w:t>), local disk, no CDN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Variant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priceDelta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Added to </w:t>
            </w:r>
            <w:r>
              <w:rPr>
                <w:rFonts w:ascii="Consolas" w:hAnsi="Consolas"/>
                <w:sz w:val="20"/>
              </w:rPr>
              <w:t>Product.priceUgx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Same denormalized-cache caveat as </w:t>
            </w:r>
            <w:r>
              <w:rPr>
                <w:rFonts w:ascii="Consolas" w:hAnsi="Consolas"/>
                <w:sz w:val="20"/>
              </w:rPr>
              <w:t>Product.stockQty</w:t>
            </w:r>
          </w:p>
        </w:tc>
      </w:tr>
    </w:tbl>
    <w:p>
      <w:pPr>
        <w:pStyle w:val="Heading2"/>
      </w:pPr>
      <w:r>
        <w:t>Inventory</w:t>
      </w:r>
    </w:p>
    <w:p>
      <w:pPr>
        <w:pStyle w:val="Heading3"/>
      </w:pPr>
      <w:r>
        <w:t>Warehouse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InventoryRecord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Warehouse, Cascade</w:t>
            </w:r>
          </w:p>
        </w:tc>
      </w:tr>
      <w:tr>
        <w:tc>
          <w:tcPr>
            <w:tcW w:type="dxa" w:w="1728"/>
          </w:tcPr>
          <w:p>
            <w:r>
              <w:t>batchLot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Checkout decrements FIFO across batches</w:t>
            </w:r>
          </w:p>
        </w:tc>
      </w:tr>
      <w:tr>
        <w:tc>
          <w:tcPr>
            <w:tcW w:type="dxa" w:w="1728"/>
          </w:tcPr>
          <w:p>
            <w:r>
              <w:t>qtyOnHand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Source of truth for stock, per product × warehouse × batch</w:t>
            </w:r>
          </w:p>
        </w:tc>
      </w:tr>
      <w:tr>
        <w:tc>
          <w:tcPr>
            <w:tcW w:type="dxa" w:w="1728"/>
          </w:tcPr>
          <w:p>
            <w:r>
              <w:t>reorderPoint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Drives low-stock admin flags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@@unique([productId, warehouseId, batchLot])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@@index([warehouseId])</w:t>
            </w:r>
          </w:p>
        </w:tc>
      </w:tr>
    </w:tbl>
    <w:p>
      <w:pPr>
        <w:pStyle w:val="Heading2"/>
      </w:pPr>
      <w:r>
        <w:t>Cart &amp; checkout</w:t>
      </w:r>
    </w:p>
    <w:p>
      <w:pPr>
        <w:pStyle w:val="Heading3"/>
      </w:pPr>
      <w:r>
        <w:t>Cart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Cascade; null for a guest cart</w:t>
            </w:r>
          </w:p>
        </w:tc>
      </w:tr>
      <w:tr>
        <w:tc>
          <w:tcPr>
            <w:tcW w:type="dxa" w:w="1728"/>
          </w:tcPr>
          <w:p>
            <w:r>
              <w:t>sessionId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guest-cart identifier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CartItem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cartId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Cart,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@@unique([cartId, productId, variantId])</w:t>
            </w:r>
            <w:r>
              <w:t xml:space="preserve"> — NULL-is-distinct means this doesn't dedupe null-variant rows; handled explicitly in </w:t>
            </w:r>
            <w:r>
              <w:rPr>
                <w:rFonts w:ascii="Consolas" w:hAnsi="Consolas"/>
                <w:sz w:val="20"/>
              </w:rPr>
              <w:t>CartService.addItem()</w:t>
            </w:r>
          </w:p>
        </w:tc>
      </w:tr>
    </w:tbl>
    <w:p>
      <w:pPr>
        <w:pStyle w:val="Heading3"/>
      </w:pPr>
      <w:r>
        <w:t>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OrderStatus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 xml:space="preserve">State machine — see </w:t>
            </w:r>
            <w:r>
              <w:rPr>
                <w:rFonts w:ascii="Consolas" w:hAnsi="Consolas"/>
                <w:sz w:val="20"/>
              </w:rPr>
              <w:t>ALLOWED_TRANSITIONS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orders.service.ts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</w:t>
            </w:r>
          </w:p>
        </w:tc>
      </w:tr>
      <w:tr>
        <w:tc>
          <w:tcPr>
            <w:tcW w:type="dxa" w:w="1728"/>
          </w:tcPr>
          <w:p>
            <w:r>
              <w:t>subtotalUgx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shippingFeeUgx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discountUgx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Uganda VAT (18%), broken out separately — collected on URA's behalf, not ChrisPa revenue</w:t>
            </w:r>
          </w:p>
        </w:tc>
      </w:tr>
      <w:tr>
        <w:tc>
          <w:tcPr>
            <w:tcW w:type="dxa" w:w="1728"/>
          </w:tcPr>
          <w:p>
            <w:r>
              <w:t>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timeSlot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paymentMethod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CASH_ON_DELIVERY</w:t>
            </w:r>
            <w:r>
              <w:t xml:space="preserve"> completes;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>/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return 501</w:t>
            </w:r>
          </w:p>
        </w:tc>
      </w:tr>
      <w:tr>
        <w:tc>
          <w:tcPr>
            <w:tcW w:type="dxa" w:w="1728"/>
          </w:tcPr>
          <w:p>
            <w:r>
              <w:t>shippingAddress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deliveryConfirmedAt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Customer-only signal, separate from staff-set </w:t>
            </w:r>
            <w:r>
              <w:rPr>
                <w:rFonts w:ascii="Consolas" w:hAnsi="Consolas"/>
                <w:sz w:val="20"/>
              </w:rPr>
              <w:t>status: DELIVERED</w:t>
            </w:r>
            <w:r>
              <w:t xml:space="preserve"> — "mutual consent" the printable receipt requires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@@index([warehouseId])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3"/>
      </w:pPr>
      <w:r>
        <w:t>OrderItem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snapshotted at order time, not read live from Product</w:t>
            </w:r>
          </w:p>
        </w:tc>
      </w:tr>
      <w:tr>
        <w:tc>
          <w:tcPr>
            <w:tcW w:type="dxa" w:w="1728"/>
          </w:tcPr>
          <w:p>
            <w:r>
              <w:t>costUgxSnapshot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platformCommissionUgx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Null until </w:t>
            </w:r>
            <w:r>
              <w:rPr>
                <w:rFonts w:ascii="Consolas" w:hAnsi="Consolas"/>
                <w:sz w:val="20"/>
              </w:rPr>
              <w:t>RevenueRecognitionService</w:t>
            </w:r>
            <w:r>
              <w:t xml:space="preserve"> computes it at delivery</w:t>
            </w:r>
          </w:p>
        </w:tc>
      </w:tr>
      <w:tr>
        <w:tc>
          <w:tcPr>
            <w:tcW w:type="dxa" w:w="1728"/>
          </w:tcPr>
          <w:p>
            <w:r>
              <w:t>vendorPayoutUgx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vendorPayoutId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VendorPayout; null = not yet paid out (guards against double-paying)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orderId, productId, vendorId, vendorPayoutId</w:t>
            </w:r>
          </w:p>
        </w:tc>
      </w:tr>
    </w:tbl>
    <w:p>
      <w:pPr>
        <w:pStyle w:val="Heading2"/>
      </w:pPr>
      <w:r>
        <w:t>Delivery (Driver App)</w:t>
      </w:r>
    </w:p>
    <w:p>
      <w:r>
        <w:t xml:space="preserve">Added commit </w:t>
      </w:r>
      <w:r>
        <w:rPr>
          <w:rFonts w:ascii="Consolas" w:hAnsi="Consolas"/>
          <w:sz w:val="20"/>
        </w:rPr>
        <w:t>75b7cff</w:t>
      </w:r>
      <w:r>
        <w:t xml:space="preserve">, per user request — not in the original SRS. See </w:t>
      </w:r>
      <w:hyperlink r:id="rId11">
        <w:r>
          <w:rPr>
            <w:color w:val="0563C1"/>
            <w:u w:val="single"/>
          </w:rPr>
          <w:t xml:space="preserve">`21-data-flow-diagram.md`</w:t>
        </w:r>
      </w:hyperlink>
      <w:r>
        <w:t xml:space="preserve">'s Driver App diagram and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the relationship/reassignment semantics.</w:t>
      </w:r>
    </w:p>
    <w:p>
      <w:pPr>
        <w:pStyle w:val="Heading3"/>
      </w:pPr>
      <w:r>
        <w:t>Delivery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Order, </w:t>
            </w:r>
            <w:r>
              <w:rPr>
                <w:rFonts w:ascii="Consolas" w:hAnsi="Consolas"/>
                <w:sz w:val="20"/>
              </w:rPr>
              <w:t>@unique</w:t>
            </w:r>
            <w:r>
              <w:t xml:space="preserve"> — 1:1, no split-shipment support</w:t>
            </w:r>
          </w:p>
        </w:tc>
      </w:tr>
      <w:tr>
        <w:tc>
          <w:tcPr>
            <w:tcW w:type="dxa" w:w="1728"/>
          </w:tcPr>
          <w:p>
            <w:r>
              <w:t>driverId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User (relation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); the assigned driver, must have </w:t>
            </w:r>
            <w:r>
              <w:rPr>
                <w:rFonts w:ascii="Consolas" w:hAnsi="Consolas"/>
                <w:sz w:val="20"/>
              </w:rPr>
              <w:t>role: DRIVER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DeliveryStatus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ASSIGNED</w:t>
            </w:r>
          </w:p>
        </w:tc>
        <w:tc>
          <w:tcPr>
            <w:tcW w:type="dxa" w:w="1728"/>
          </w:tcPr>
          <w:p>
            <w:r>
              <w:t xml:space="preserve">See the </w:t>
            </w:r>
            <w:r>
              <w:rPr>
                <w:rFonts w:ascii="Consolas" w:hAnsi="Consolas"/>
                <w:sz w:val="20"/>
              </w:rPr>
              <w:t>DeliveryStatus</w:t>
            </w:r>
            <w:r>
              <w:t xml:space="preserve"> enum below</w:t>
            </w:r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DeliveryPriority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assignment; a driver's own list sorts URGENT-first, ordering hint only, no automated dispatch reads it</w:t>
            </w:r>
          </w:p>
        </w:tc>
      </w:tr>
      <w:tr>
        <w:tc>
          <w:tcPr>
            <w:tcW w:type="dxa" w:w="1728"/>
          </w:tcPr>
          <w:p>
            <w:r>
              <w:t>pickupLat / pickupLng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from the driver's browser geolocation at the moment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 becomes </w:t>
            </w:r>
            <w:r>
              <w:rPr>
                <w:rFonts w:ascii="Consolas" w:hAnsi="Consolas"/>
                <w:sz w:val="20"/>
              </w:rPr>
              <w:t>PICKED_UP</w:t>
            </w:r>
          </w:p>
        </w:tc>
      </w:tr>
      <w:tr>
        <w:tc>
          <w:tcPr>
            <w:tcW w:type="dxa" w:w="1728"/>
          </w:tcPr>
          <w:p>
            <w:r>
              <w:t>pickedUpAt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pickupLat/pickupLng</w:t>
            </w:r>
          </w:p>
        </w:tc>
      </w:tr>
      <w:tr>
        <w:tc>
          <w:tcPr>
            <w:tcW w:type="dxa" w:w="1728"/>
          </w:tcPr>
          <w:p>
            <w:r>
              <w:t>deliveryLat / deliveryLng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at 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>, same reasoning as pickup</w:t>
            </w:r>
          </w:p>
        </w:tc>
      </w:tr>
      <w:tr>
        <w:tc>
          <w:tcPr>
            <w:tcW w:type="dxa" w:w="1728"/>
          </w:tcPr>
          <w:p>
            <w:r>
              <w:t>deliveredAt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deliveryLat/deliveryLng</w:t>
            </w:r>
          </w:p>
        </w:tc>
      </w:tr>
      <w:tr>
        <w:tc>
          <w:tcPr>
            <w:tcW w:type="dxa" w:w="1728"/>
          </w:tcPr>
          <w:p>
            <w:r>
              <w:t>currentLat / currentLng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Last-known position while en route — a single overwritten snapshot, not a location-history table</w:t>
            </w:r>
          </w:p>
        </w:tc>
      </w:tr>
      <w:tr>
        <w:tc>
          <w:tcPr>
            <w:tcW w:type="dxa" w:w="1728"/>
          </w:tcPr>
          <w:p>
            <w:r>
              <w:t>lastLocationAt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Timestamp of the last position update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assignedAt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@@index([driverId])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2"/>
      </w:pPr>
      <w:r>
        <w:t>Marketplace</w:t>
      </w:r>
    </w:p>
    <w:p>
      <w:pPr>
        <w:pStyle w:val="Heading3"/>
      </w:pPr>
      <w:r>
        <w:t>Vendor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contactEmail / contactPhone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payoutMobileMoneyNumber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commissionRatePercent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 xml:space="preserve">Platform's cut; read live at order-creation time, then snapshotted onto </w:t>
            </w:r>
            <w:r>
              <w:rPr>
                <w:rFonts w:ascii="Consolas" w:hAnsi="Consolas"/>
                <w:sz w:val="20"/>
              </w:rPr>
              <w:t>OrderItem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VendorPayout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grossSalesUgx / commissionUgx / 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Computed from that vendor's DELIVERED OrderItems, not recomputed live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VendorPayoutStatus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>Marking PAID is manual — no real disbursement integration</w:t>
            </w:r>
          </w:p>
        </w:tc>
      </w:tr>
      <w:tr>
        <w:tc>
          <w:tcPr>
            <w:tcW w:type="dxa" w:w="1728"/>
          </w:tcPr>
          <w:p>
            <w:r>
              <w:t>paidAt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Payments</w:t>
      </w:r>
    </w:p>
    <w:p>
      <w:pPr>
        <w:pStyle w:val="Heading3"/>
      </w:pPr>
      <w:r>
        <w:t>PaymentTransaction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Order; nullable since a charge can be initiated before the order is confirmed</w:t>
            </w:r>
          </w:p>
        </w:tc>
      </w:tr>
      <w:tr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PaymentProvider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FLUTTERWAVE</w:t>
            </w:r>
          </w:p>
        </w:tc>
      </w:tr>
      <w:tr>
        <w:tc>
          <w:tcPr>
            <w:tcW w:type="dxa" w:w="1728"/>
          </w:tcPr>
          <w:p>
            <w:r>
              <w:t>providerReference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our own idempotency key, sent as </w:t>
            </w:r>
            <w:r>
              <w:rPr>
                <w:rFonts w:ascii="Consolas" w:hAnsi="Consolas"/>
                <w:sz w:val="20"/>
              </w:rPr>
              <w:t>tx_ref</w:t>
            </w:r>
            <w:r>
              <w:t xml:space="preserve"> — how the webhook maps back</w:t>
            </w:r>
          </w:p>
        </w:tc>
      </w:tr>
      <w:tr>
        <w:tc>
          <w:tcPr>
            <w:tcW w:type="dxa" w:w="1728"/>
          </w:tcPr>
          <w:p>
            <w:r>
              <w:t>providerTransactionId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PaymentTransactionStatus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failureReason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Gateway fee, or a chargeback fee once disputed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Marketing</w:t>
      </w:r>
    </w:p>
    <w:p>
      <w:pPr>
        <w:pStyle w:val="Heading3"/>
      </w:pPr>
      <w:r>
        <w:t>Coupon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CouponType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usageCount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Bundle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productIds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Scalar array, not a join table — no referential integrity, deliberate for this small feature</w:t>
            </w:r>
          </w:p>
        </w:tc>
      </w:tr>
      <w:tr>
        <w:tc>
          <w:tcPr>
            <w:tcW w:type="dxa" w:w="1728"/>
          </w:tcPr>
          <w:p>
            <w:r>
              <w:t>bundlePriceUgx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NewsletterSubscriber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Kept, not hard-deleted on unsubscribe — preserves history and lets a re-subscribe flip it back on</w:t>
            </w:r>
          </w:p>
        </w:tc>
      </w:tr>
    </w:tbl>
    <w:p>
      <w:pPr>
        <w:pStyle w:val="Heading3"/>
      </w:pPr>
      <w:r>
        <w:t>NewsletterCampaign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subject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Snapshot of active subscriber count at send time</w:t>
            </w:r>
          </w:p>
        </w:tc>
      </w:tr>
      <w:tr>
        <w:tc>
          <w:tcPr>
            <w:tcW w:type="dxa" w:w="1728"/>
          </w:tcPr>
          <w:p>
            <w:r>
              <w:t>notifiedUserCount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How many also got an in-app </w:t>
            </w:r>
            <w:r>
              <w:rPr>
                <w:rFonts w:ascii="Consolas" w:hAnsi="Consolas"/>
                <w:sz w:val="20"/>
              </w:rPr>
              <w:t>Notification</w:t>
            </w:r>
          </w:p>
        </w:tc>
      </w:tr>
      <w:tr>
        <w:tc>
          <w:tcPr>
            <w:tcW w:type="dxa" w:w="1728"/>
          </w:tcPr>
          <w:p>
            <w:r>
              <w:t>sentAt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Sent immediately on creation — not a draft/scheduling system</w:t>
            </w:r>
          </w:p>
        </w:tc>
      </w:tr>
    </w:tbl>
    <w:p>
      <w:pPr>
        <w:pStyle w:val="Heading2"/>
      </w:pPr>
      <w:r>
        <w:t>Loyalty</w:t>
      </w:r>
    </w:p>
    <w:p>
      <w:pPr>
        <w:pStyle w:val="Heading3"/>
      </w:pPr>
      <w:r>
        <w:t>LoyaltyAccount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</w:t>
            </w:r>
          </w:p>
        </w:tc>
      </w:tr>
      <w:tr>
        <w:tc>
          <w:tcPr>
            <w:tcW w:type="dxa" w:w="1728"/>
          </w:tcPr>
          <w:p>
            <w:r>
              <w:t>pointsBalance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LoyaltyLedgerEntry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loyaltyAccountId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LoyaltyAccount, Cascade</w:t>
            </w:r>
          </w:p>
        </w:tc>
      </w:tr>
      <w:tr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Signed — award or reversal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Notifications</w:t>
      </w:r>
    </w:p>
    <w:p>
      <w:r>
        <w:t xml:space="preserve">See </w:t>
      </w:r>
      <w:r>
        <w:rPr>
          <w:rFonts w:ascii="Consolas" w:hAnsi="Consolas"/>
          <w:sz w:val="20"/>
        </w:rPr>
        <w:t>Notification</w:t>
      </w:r>
      <w:r>
        <w:t xml:space="preserve"> under </w:t>
      </w:r>
      <w:r>
        <w:rPr>
          <w:b/>
        </w:rPr>
        <w:t>Identity &amp; auth</w:t>
      </w:r>
      <w:r>
        <w:t xml:space="preserve"> above (kept there since it's a direct </w:t>
      </w:r>
      <w:r>
        <w:rPr>
          <w:rFonts w:ascii="Consolas" w:hAnsi="Consolas"/>
          <w:sz w:val="20"/>
        </w:rPr>
        <w:t>User</w:t>
      </w:r>
      <w:r>
        <w:t xml:space="preserve"> relation) — treated as its own domain in </w:t>
      </w:r>
      <w:r>
        <w:rPr>
          <w:rFonts w:ascii="Consolas" w:hAnsi="Consolas"/>
          <w:sz w:val="20"/>
        </w:rPr>
        <w:t>03-database-design.md</w:t>
      </w:r>
      <w:r>
        <w:t>'s inventory table.</w:t>
      </w:r>
    </w:p>
    <w:p>
      <w:pPr>
        <w:pStyle w:val="Heading2"/>
      </w:pPr>
      <w:r>
        <w:t>CRM / support</w:t>
      </w:r>
    </w:p>
    <w:p>
      <w:pPr>
        <w:pStyle w:val="Heading3"/>
      </w:pPr>
      <w:r>
        <w:t>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SupportTicket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TicketStatus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TicketMessage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ticketId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SupportTicket, Cascade</w:t>
            </w:r>
          </w:p>
        </w:tc>
      </w:tr>
      <w:tr>
        <w:tc>
          <w:tcPr>
            <w:tcW w:type="dxa" w:w="1728"/>
          </w:tcPr>
          <w:p>
            <w:r>
              <w:t>authorUserId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 — either party</w:t>
            </w:r>
          </w:p>
        </w:tc>
      </w:tr>
      <w:tr>
        <w:tc>
          <w:tcPr>
            <w:tcW w:type="dxa" w:w="1728"/>
          </w:tcPr>
          <w:p>
            <w:r>
              <w:t>authorRole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write time — a later role change shouldn't repaint an old message's bubble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WishlistItem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@@unique([userId, productId])</w:t>
            </w:r>
          </w:p>
        </w:tc>
      </w:tr>
    </w:tbl>
    <w:p>
      <w:pPr>
        <w:pStyle w:val="Heading2"/>
      </w:pPr>
      <w:r>
        <w:t>CMS</w:t>
      </w:r>
    </w:p>
    <w:p>
      <w:pPr>
        <w:pStyle w:val="Heading3"/>
      </w:pPr>
      <w:r>
        <w:t>CmsPage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Banner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imageUrl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BlogPost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Read-only from the admin side today — no write endpoint yet</w:t>
            </w:r>
          </w:p>
        </w:tc>
      </w:tr>
      <w:tr>
        <w:tc>
          <w:tcPr>
            <w:tcW w:type="dxa" w:w="1728"/>
          </w:tcPr>
          <w:p>
            <w:r>
              <w:t>publishedAt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SocialMediaAccount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not an enum — no icon library, rendered as a text label regardless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org (Departments, Employee Profiles, Documents)</w:t>
      </w:r>
    </w:p>
    <w:p>
      <w:pPr>
        <w:pStyle w:val="Heading3"/>
      </w:pPr>
      <w:r>
        <w:t>Department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DepartmentPermission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Department, Cascade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PermissionResource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One row per admin nav area</w:t>
            </w:r>
          </w:p>
        </w:tc>
      </w:tr>
      <w:tr>
        <w:tc>
          <w:tcPr>
            <w:tcW w:type="dxa" w:w="1728"/>
          </w:tcPr>
          <w:p>
            <w:r>
              <w:t>canView / canCreate / canUpdate / canDelete / canExecute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A </w:t>
            </w:r>
            <w:r>
              <w:rPr>
                <w:b/>
              </w:rPr>
              <w:t>stored policy record</w:t>
            </w:r>
            <w:r>
              <w:t xml:space="preserve">, not the enforcement mechanism — </w:t>
            </w:r>
            <w:r>
              <w:rPr>
                <w:rFonts w:ascii="Consolas" w:hAnsi="Consolas"/>
                <w:sz w:val="20"/>
              </w:rPr>
              <w:t>RolesGuard</w:t>
            </w:r>
            <w:r>
              <w:t>/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is the real security boundary, by explicit user decision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@@unique([departmentId, resource])</w:t>
            </w:r>
            <w:r>
              <w:t xml:space="preserve"> — every department always has a complete 15-row matrix</w:t>
            </w:r>
          </w:p>
        </w:tc>
      </w:tr>
    </w:tbl>
    <w:p>
      <w:pPr>
        <w:pStyle w:val="Heading3"/>
      </w:pPr>
      <w:r>
        <w:t>Employee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, FK → User; optional both ways — see </w:t>
            </w:r>
            <w:r>
              <w:rPr>
                <w:rFonts w:ascii="Consolas" w:hAnsi="Consolas"/>
                <w:sz w:val="20"/>
              </w:rPr>
              <w:t>22-entity-relationship-diagram.md</w:t>
            </w:r>
          </w:p>
        </w:tc>
      </w:tr>
      <w:tr>
        <w:tc>
          <w:tcPr>
            <w:tcW w:type="dxa" w:w="1728"/>
          </w:tcPr>
          <w:p>
            <w:r>
              <w:t>employeeNumber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auto-generated</w:t>
            </w:r>
          </w:p>
        </w:tc>
      </w:tr>
      <w:tr>
        <w:tc>
          <w:tcPr>
            <w:tcW w:type="dxa" w:w="1728"/>
          </w:tcPr>
          <w:p>
            <w:r>
              <w:t>firstName / lastName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personalEmail / personalPhone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nationalIdNumber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Uganda National ID — access restricted to OWNER/HR_MANAGER at the API layer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jobTitle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Never hard-deleted — TERMINATED is the "delete"</w:t>
            </w:r>
          </w:p>
        </w:tc>
      </w:tr>
      <w:tr>
        <w:tc>
          <w:tcPr>
            <w:tcW w:type="dxa" w:w="1728"/>
          </w:tcPr>
          <w:p>
            <w:r>
              <w:t>hireDate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terminationDate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managerId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 (self)</w:t>
            </w:r>
          </w:p>
        </w:tc>
      </w:tr>
      <w:tr>
        <w:tc>
          <w:tcPr>
            <w:tcW w:type="dxa" w:w="1728"/>
          </w:tcPr>
          <w:p>
            <w:r>
              <w:t>baseSalaryUgx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Payroll input</w:t>
            </w:r>
          </w:p>
        </w:tc>
      </w:tr>
      <w:tr>
        <w:tc>
          <w:tcPr>
            <w:tcW w:type="dxa" w:w="1728"/>
          </w:tcPr>
          <w:p>
            <w:r>
              <w:t>nssfNumber / tinNumber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annualLeaveDaysPerYear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Uganda Employment Act 2006 statutory minimum</w:t>
            </w:r>
          </w:p>
        </w:tc>
      </w:tr>
      <w:tr>
        <w:tc>
          <w:tcPr>
            <w:tcW w:type="dxa" w:w="1728"/>
          </w:tcPr>
          <w:p>
            <w:r>
              <w:t>standardHoursPerDay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Overtime calculation input</w:t>
            </w:r>
          </w:p>
        </w:tc>
      </w:tr>
      <w:tr>
        <w:tc>
          <w:tcPr>
            <w:tcW w:type="dxa" w:w="1728"/>
          </w:tcPr>
          <w:p>
            <w:r>
              <w:t>overtimeRateMultiplier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Plain multiplier, not a percentage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departmentId, managerId, employmentStatus</w:t>
            </w:r>
          </w:p>
        </w:tc>
      </w:tr>
    </w:tbl>
    <w:p>
      <w:pPr>
        <w:pStyle w:val="Heading3"/>
      </w:pPr>
      <w:r>
        <w:t>EmploymentHistoryEntry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changeType</w:t>
            </w:r>
          </w:p>
        </w:tc>
        <w:tc>
          <w:tcPr>
            <w:tcW w:type="dxa" w:w="1728"/>
          </w:tcPr>
          <w:p>
            <w:r>
              <w:t>EmploymentChangeType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Auto-logged by </w:t>
            </w:r>
            <w:r>
              <w:rPr>
                <w:rFonts w:ascii="Consolas" w:hAnsi="Consolas"/>
                <w:sz w:val="20"/>
              </w:rPr>
              <w:t>EmployeesService.update()</w:t>
            </w:r>
            <w:r>
              <w:t>'s diff</w:t>
            </w:r>
          </w:p>
        </w:tc>
      </w:tr>
      <w:tr>
        <w:tc>
          <w:tcPr>
            <w:tcW w:type="dxa" w:w="1728"/>
          </w:tcPr>
          <w:p>
            <w:r>
              <w:t>previousValue / newValue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effectiveDate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EmployeeDocument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EmployeeDocumentType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fileUrl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Drives the "documents expiring in 30 days" dashboard metric</w:t>
            </w:r>
          </w:p>
        </w:tc>
      </w:tr>
      <w:tr>
        <w:tc>
          <w:tcPr>
            <w:tcW w:type="dxa" w:w="1728"/>
          </w:tcPr>
          <w:p>
            <w:r>
              <w:t>uploadedAt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attendance / leave / shifts</w:t>
      </w:r>
    </w:p>
    <w:p>
      <w:pPr>
        <w:pStyle w:val="Heading3"/>
      </w:pPr>
      <w:r>
        <w:t>TimeEntry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clockIn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clockOut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AttendanceSource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LeaveRequest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LeaveType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startDate / endDate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LeaveRequestStatus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reviewNotes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startAt / endAt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SCHEDULED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ShiftSwapRequest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shiftId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Shift, Cascade</w:t>
            </w:r>
          </w:p>
        </w:tc>
      </w:tr>
      <w:tr>
        <w:tc>
          <w:tcPr>
            <w:tcW w:type="dxa" w:w="1728"/>
          </w:tcPr>
          <w:p>
            <w:r>
              <w:t>requestedByEmployeeId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coverEmployeeId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Employee; approval reassigns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ShiftSwapStatus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performance &amp; recruitment</w:t>
      </w:r>
    </w:p>
    <w:p>
      <w:pPr>
        <w:pStyle w:val="Heading3"/>
      </w:pPr>
      <w:r>
        <w:t>PerformanceGoal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targetDate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GoalStatus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NOT_STARTED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progressPercent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 — OWNER/HR_MANAGER or the employee's line manager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PerformanceFeedback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givenByUserId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Lightweight, immutable — distinct from the formal </w:t>
            </w:r>
            <w:r>
              <w:rPr>
                <w:rFonts w:ascii="Consolas" w:hAnsi="Consolas"/>
                <w:sz w:val="20"/>
              </w:rPr>
              <w:t>PerformanceReview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reviewerUserId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1–5</w:t>
            </w:r>
          </w:p>
        </w:tc>
      </w:tr>
      <w:tr>
        <w:tc>
          <w:tcPr>
            <w:tcW w:type="dxa" w:w="1728"/>
          </w:tcPr>
          <w:p>
            <w:r>
              <w:t>strengths / areasForImprovement / overallComments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ReviewStatus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 xml:space="preserve">SUBMITTED locks content — only the employee's own </w:t>
            </w:r>
            <w:r>
              <w:rPr>
                <w:rFonts w:ascii="Consolas" w:hAnsi="Consolas"/>
                <w:sz w:val="20"/>
              </w:rPr>
              <w:t>acknowledge()</w:t>
            </w:r>
            <w:r>
              <w:t xml:space="preserve"> can move it to ACKNOWLEDGED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JobPosting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description / requirements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JobPostingStatus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postedAt / 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Applicant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jobPostingId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JobPosting, Cascade</w:t>
            </w:r>
          </w:p>
        </w:tc>
      </w:tr>
      <w:tr>
        <w:tc>
          <w:tcPr>
            <w:tcW w:type="dxa" w:w="1728"/>
          </w:tcPr>
          <w:p>
            <w:r>
              <w:t>firstName / lastName / 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 / resumeUrl / coverNote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ApplicantStage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Internal HR notes, not shown to the applicant</w:t>
            </w:r>
          </w:p>
        </w:tc>
      </w:tr>
      <w:tr>
        <w:tc>
          <w:tcPr>
            <w:tcW w:type="dxa" w:w="1728"/>
          </w:tcPr>
          <w:p>
            <w:r>
              <w:t>convertedEmployeeId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Employee; guards against double-conversion</w:t>
            </w:r>
          </w:p>
        </w:tc>
      </w:tr>
      <w:tr>
        <w:tc>
          <w:tcPr>
            <w:tcW w:type="dxa" w:w="1728"/>
          </w:tcPr>
          <w:p>
            <w:r>
              <w:t>appliedAt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payroll</w:t>
      </w:r>
    </w:p>
    <w:p>
      <w:pPr>
        <w:pStyle w:val="Heading3"/>
      </w:pPr>
      <w:r>
        <w:t>PayrollPeriod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First-of-month; Dec 1 of the target year for THIRTEENTH_MONTH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PayrollPeriodType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PayrollPeriodStatus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DRAFT → COMPUTED → FINALIZED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finalizedAt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@@unique([month, type])</w:t>
            </w:r>
            <w:r>
              <w:t xml:space="preserve"> — lets a REGULAR and THIRTEENTH_MONTH period coexist in the same month</w:t>
            </w:r>
          </w:p>
        </w:tc>
      </w:tr>
    </w:tbl>
    <w:p>
      <w:pPr>
        <w:pStyle w:val="Heading3"/>
      </w:pPr>
      <w:r>
        <w:t>Payslip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basicSalaryUgx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prorated for THIRTEENTH_MONTH</w:t>
            </w:r>
          </w:p>
        </w:tc>
      </w:tr>
      <w:tr>
        <w:tc>
          <w:tcPr>
            <w:tcW w:type="dxa" w:w="1728"/>
          </w:tcPr>
          <w:p>
            <w:r>
              <w:t>taxableAllowancesUgx / nonTaxableAllowancesUgx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overtimeUgx / bonusUgx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Display total (taxable gross + non-taxable allowances)</w:t>
            </w:r>
          </w:p>
        </w:tc>
      </w:tr>
      <w:tr>
        <w:tc>
          <w:tcPr>
            <w:tcW w:type="dxa" w:w="1728"/>
          </w:tcPr>
          <w:p>
            <w:r>
              <w:t>payeTaxUgx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nssfEmployeeUgx / nssfEmployerUgx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Computed on </w:t>
            </w:r>
            <w:r>
              <w:rPr>
                <w:rFonts w:ascii="Consolas" w:hAnsi="Consolas"/>
                <w:sz w:val="20"/>
              </w:rPr>
              <w:t>basicSalaryUgx</w:t>
            </w:r>
            <w:r>
              <w:t xml:space="preserve"> only — documented simplification</w:t>
            </w:r>
          </w:p>
        </w:tc>
      </w:tr>
      <w:tr>
        <w:tc>
          <w:tcPr>
            <w:tcW w:type="dxa" w:w="1728"/>
          </w:tcPr>
          <w:p>
            <w:r>
              <w:t>penaltyUgx / advanceRepaymentUgx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netPayUgx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computedAt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@@unique([periodId, employeeId])</w:t>
            </w:r>
          </w:p>
        </w:tc>
      </w:tr>
    </w:tbl>
    <w:p>
      <w:pPr>
        <w:pStyle w:val="Heading3"/>
      </w:pPr>
      <w:r>
        <w:t>EmployeeAllowance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AllowanceType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Controls PAYE-chargeable vs. straight-to-net</w:t>
            </w:r>
          </w:p>
        </w:tc>
      </w:tr>
      <w:tr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Applied to every regular run while active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SalaryAdvance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principalUgx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balanceRemainingUgx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decremented at </w:t>
            </w:r>
            <w:r>
              <w:rPr>
                <w:rFonts w:ascii="Consolas" w:hAnsi="Consolas"/>
                <w:sz w:val="20"/>
              </w:rPr>
              <w:t>PayrollService.finalize()</w:t>
            </w:r>
            <w:r>
              <w:t xml:space="preserve"> — re-running a not-yet-finalized period doesn't mutate it</w:t>
            </w:r>
          </w:p>
        </w:tc>
      </w:tr>
      <w:tr>
        <w:tc>
          <w:tcPr>
            <w:tcW w:type="dxa" w:w="1728"/>
          </w:tcPr>
          <w:p>
            <w:r>
              <w:t>monthlyInstallmentUgx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SalaryAdvanceStatus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issuedAt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approvedByUserId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PayslipAdvanceRepayment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payslipId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Payslip, Cascade</w:t>
            </w:r>
          </w:p>
        </w:tc>
      </w:tr>
      <w:tr>
        <w:tc>
          <w:tcPr>
            <w:tcW w:type="dxa" w:w="1728"/>
          </w:tcPr>
          <w:p>
            <w:r>
              <w:t>advanceId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SalaryAdvance</w:t>
            </w:r>
          </w:p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per payslip, not recomputed at finalize time</w:t>
            </w:r>
          </w:p>
        </w:tc>
      </w:tr>
    </w:tbl>
    <w:p>
      <w:pPr>
        <w:pStyle w:val="Heading3"/>
      </w:pPr>
      <w:r>
        <w:t>PayrollAdjustment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PayrollAdjustmentType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Only meaningful for BONUS/OVERTIME/OTHER_EARNING — deductions are always post-tax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Activity log / audit trail</w:t>
      </w:r>
    </w:p>
    <w:p>
      <w:pPr>
        <w:pStyle w:val="Heading3"/>
      </w:pPr>
      <w:r>
        <w:t>ActivityLog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actorUserId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string, snapshotted</w:t>
            </w:r>
          </w:p>
        </w:tc>
      </w:tr>
      <w:tr>
        <w:tc>
          <w:tcPr>
            <w:tcW w:type="dxa" w:w="1728"/>
          </w:tcPr>
          <w:p>
            <w:r>
              <w:t>actorRole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a later role change doesn't rewrite past entries</w:t>
            </w:r>
          </w:p>
        </w:tc>
      </w:tr>
      <w:tr>
        <w:tc>
          <w:tcPr>
            <w:tcW w:type="dxa" w:w="1728"/>
          </w:tcPr>
          <w:p>
            <w:r>
              <w:t>actorType</w:t>
            </w:r>
          </w:p>
        </w:tc>
        <w:tc>
          <w:tcPr>
            <w:tcW w:type="dxa" w:w="1728"/>
          </w:tcPr>
          <w:p>
            <w:r>
              <w:t>ActivityActorType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CUSTOMER / STAFF / SYSTEM</w:t>
            </w:r>
          </w:p>
        </w:tc>
      </w:tr>
      <w:tr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Machine-readable code, e.g. </w:t>
            </w:r>
            <w:r>
              <w:rPr>
                <w:rFonts w:ascii="Consolas" w:hAnsi="Consolas"/>
                <w:sz w:val="20"/>
              </w:rPr>
              <w:t>CUSTOMER_SUSPENDED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ORDER_STATUS_CHANGED</w:t>
            </w:r>
          </w:p>
        </w:tc>
      </w:tr>
      <w:tr>
        <w:tc>
          <w:tcPr>
            <w:tcW w:type="dxa" w:w="1728"/>
          </w:tcPr>
          <w:p>
            <w:r>
              <w:t>entityType / 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metadata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never contain passwords/tokens/secrets</w:t>
            </w:r>
          </w:p>
        </w:tc>
      </w:tr>
      <w:tr>
        <w:tc>
          <w:tcPr>
            <w:tcW w:type="dxa" w:w="1728"/>
          </w:tcPr>
          <w:p>
            <w:r>
              <w:t>ipAddress / 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actorUserId, </w:t>
            </w:r>
            <w:r>
              <w:rPr>
                <w:rFonts w:ascii="Consolas" w:hAnsi="Consolas"/>
                <w:sz w:val="20"/>
              </w:rPr>
              <w:t>[entityType, entityId]</w:t>
            </w:r>
            <w:r>
              <w:t>, action, createdAt</w:t>
            </w:r>
          </w:p>
        </w:tc>
      </w:tr>
    </w:tbl>
    <w:p>
      <w:pPr>
        <w:pStyle w:val="Heading2"/>
      </w:pPr>
      <w:r>
        <w:t>Financial &amp; accounting (multi-entity)</w:t>
      </w:r>
    </w:p>
    <w:p>
      <w:pPr>
        <w:pStyle w:val="Heading3"/>
      </w:pPr>
      <w:r>
        <w:t>LegalEntity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 / 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Both </w:t>
            </w:r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functionalCurrency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ISO 4217</w:t>
            </w:r>
          </w:p>
        </w:tc>
      </w:tr>
      <w:tr>
        <w:tc>
          <w:tcPr>
            <w:tcW w:type="dxa" w:w="1728"/>
          </w:tcPr>
          <w:p>
            <w:r>
              <w:t>parentEntityId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(self); null = the group's ultimate parent</w:t>
            </w:r>
          </w:p>
        </w:tc>
      </w:tr>
      <w:tr>
        <w:tc>
          <w:tcPr>
            <w:tcW w:type="dxa" w:w="1728"/>
          </w:tcPr>
          <w:p>
            <w:r>
              <w:t>currentGroupFxRate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live FX feed — re-priced manually; period-snapshotting is follow-up work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GroupSettings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reportingCurrency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>
            <w:r>
              <w:t>Singleton — always read as the first row, no UI/API to create a second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code / 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AccountType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ASSET/LIABILITY/EQUITY/REVENUE/EXPENSE</w:t>
            </w:r>
          </w:p>
        </w:tc>
      </w:tr>
      <w:tr>
        <w:tc>
          <w:tcPr>
            <w:tcW w:type="dxa" w:w="1728"/>
          </w:tcPr>
          <w:p>
            <w:r>
              <w:t>parentAccountId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 (self)</w:t>
            </w:r>
          </w:p>
        </w:tc>
      </w:tr>
      <w:tr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Only meaningful for ASSET/LIABILITY</w:t>
            </w:r>
          </w:p>
        </w:tc>
      </w:tr>
      <w:tr>
        <w:tc>
          <w:tcPr>
            <w:tcW w:type="dxa" w:w="1728"/>
          </w:tcPr>
          <w:p>
            <w:r>
              <w:t>isIntercompany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counterpartyEntityId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— marks which entity an intercompany account nets against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code])</w:t>
            </w:r>
          </w:p>
        </w:tc>
      </w:tr>
    </w:tbl>
    <w:p>
      <w:pPr>
        <w:pStyle w:val="Heading3"/>
      </w:pPr>
      <w:r>
        <w:t>FiscalPeriod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 of month, UTC-midnight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FiscalPeriodStatus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Journal entries can only post into an OPEN period</w:t>
            </w:r>
          </w:p>
        </w:tc>
      </w:tr>
      <w:tr>
        <w:tc>
          <w:tcPr>
            <w:tcW w:type="dxa" w:w="1728"/>
          </w:tcPr>
          <w:p>
            <w:r>
              <w:t>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month])</w:t>
            </w:r>
          </w:p>
        </w:tc>
      </w:tr>
    </w:tbl>
    <w:p>
      <w:pPr>
        <w:pStyle w:val="Heading3"/>
      </w:pPr>
      <w:r>
        <w:t>JournalEntry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fiscalPeriodId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FiscalPeriod</w:t>
            </w:r>
          </w:p>
        </w:tc>
      </w:tr>
      <w:tr>
        <w:tc>
          <w:tcPr>
            <w:tcW w:type="dxa" w:w="1728"/>
          </w:tcPr>
          <w:p>
            <w:r>
              <w:t>entryNumber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Sequential per entity — same race-window caveat as </w:t>
            </w:r>
            <w:r>
              <w:rPr>
                <w:rFonts w:ascii="Consolas" w:hAnsi="Consolas"/>
                <w:sz w:val="20"/>
              </w:rPr>
              <w:t>Order.orderNumber</w:t>
            </w:r>
          </w:p>
        </w:tc>
      </w:tr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JournalEntryStatus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POSTED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fxRateToGroupCurrency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posting time</w:t>
            </w:r>
          </w:p>
        </w:tc>
      </w:tr>
      <w:tr>
        <w:tc>
          <w:tcPr>
            <w:tcW w:type="dxa" w:w="1728"/>
          </w:tcPr>
          <w:p>
            <w:r>
              <w:t>intercompanyGroupId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Links the linked entries of one intercompany transaction across entities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Plain string, not a </w:t>
            </w:r>
            <w:r>
              <w:rPr>
                <w:rFonts w:ascii="Consolas" w:hAnsi="Consolas"/>
                <w:sz w:val="20"/>
              </w:rPr>
              <w:t>@relation</w:t>
            </w:r>
            <w:r>
              <w:t xml:space="preserve"> (unusual for this schema — see the ERD doc's callout list)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entryNumber])</w:t>
            </w:r>
          </w:p>
        </w:tc>
      </w:tr>
    </w:tbl>
    <w:p>
      <w:pPr>
        <w:pStyle w:val="Heading3"/>
      </w:pPr>
      <w:r>
        <w:t>JournalEntryLine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journalEntryId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JournalEntry, Cascade</w:t>
            </w:r>
          </w:p>
        </w:tc>
      </w:tr>
      <w:tr>
        <w:tc>
          <w:tcPr>
            <w:tcW w:type="dxa" w:w="1728"/>
          </w:tcPr>
          <w:p>
            <w:r>
              <w:t>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</w:t>
            </w:r>
          </w:p>
        </w:tc>
      </w:tr>
      <w:tr>
        <w:tc>
          <w:tcPr>
            <w:tcW w:type="dxa" w:w="1728"/>
          </w:tcPr>
          <w:p>
            <w:r>
              <w:t>debitAmount / creditAmount</w:t>
            </w:r>
          </w:p>
        </w:tc>
        <w:tc>
          <w:tcPr>
            <w:tcW w:type="dxa" w:w="1728"/>
          </w:tcPr>
          <w:p>
            <w:r>
              <w:t>Decimal(18,2)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Exactly one non-zero — enforced in </w:t>
            </w:r>
            <w:r>
              <w:rPr>
                <w:rFonts w:ascii="Consolas" w:hAnsi="Consolas"/>
                <w:sz w:val="20"/>
              </w:rPr>
              <w:t>JournalService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memo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Marketplace &amp; payments (cont'd) — Exchange rate audit</w:t>
      </w:r>
    </w:p>
    <w:p>
      <w:pPr>
        <w:pStyle w:val="Heading3"/>
      </w:pPr>
      <w:r>
        <w:t>ExchangeRateHistory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legalEntityId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fromRate / toRate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changedByUserId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changedAt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 xml:space="preserve">Written every time </w:t>
            </w:r>
            <w:r>
              <w:rPr>
                <w:rFonts w:ascii="Consolas" w:hAnsi="Consolas"/>
                <w:sz w:val="20"/>
              </w:rPr>
              <w:t>LegalEntity.currentGroupFxRate</w:t>
            </w:r>
            <w:r>
              <w:t xml:space="preserve"> changes — the audit trail of how the live rate got there</w:t>
            </w:r>
          </w:p>
        </w:tc>
      </w:tr>
    </w:tbl>
    <w:p>
      <w:pPr>
        <w:pStyle w:val="Heading2"/>
      </w:pPr>
      <w:r>
        <w:t>Enums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UserRole</w:t>
            </w:r>
          </w:p>
        </w:tc>
        <w:tc>
          <w:tcPr>
            <w:tcW w:type="dxa" w:w="2880"/>
          </w:tcPr>
          <w:p>
            <w:r>
              <w:t>CUSTOMER, OWNER, STORE_MANAGER, FULFILLMENT, SUPPORT_AGENT, HR_MANAGER, DRIVER</w:t>
            </w:r>
          </w:p>
        </w:tc>
        <w:tc>
          <w:tcPr>
            <w:tcW w:type="dxa" w:w="2880"/>
          </w:tcPr>
          <w:p>
            <w:r>
              <w:t xml:space="preserve">Access-control role, staff + customer.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</w:t>
            </w:r>
          </w:p>
        </w:tc>
      </w:tr>
      <w:tr>
        <w:tc>
          <w:tcPr>
            <w:tcW w:type="dxa" w:w="2880"/>
          </w:tcPr>
          <w:p>
            <w:r>
              <w:t>CustomerTier</w:t>
            </w:r>
          </w:p>
        </w:tc>
        <w:tc>
          <w:tcPr>
            <w:tcW w:type="dxa" w:w="2880"/>
          </w:tcPr>
          <w:p>
            <w:r>
              <w:t>STANDARD, GOLD, WHOLESALE</w:t>
            </w:r>
          </w:p>
        </w:tc>
        <w:tc>
          <w:tcPr>
            <w:tcW w:type="dxa" w:w="2880"/>
          </w:tcPr>
          <w:p>
            <w:r>
              <w:t>Loyalty/pricing tier</w:t>
            </w:r>
          </w:p>
        </w:tc>
      </w:tr>
      <w:tr>
        <w:tc>
          <w:tcPr>
            <w:tcW w:type="dxa" w:w="2880"/>
          </w:tcPr>
          <w:p>
            <w:r>
              <w:t>NotificationType</w:t>
            </w:r>
          </w:p>
        </w:tc>
        <w:tc>
          <w:tcPr>
            <w:tcW w:type="dxa" w:w="2880"/>
          </w:tcPr>
          <w:p>
            <w:r>
              <w:t>NEWSLETTER</w:t>
            </w:r>
          </w:p>
        </w:tc>
        <w:tc>
          <w:tcPr>
            <w:tcW w:type="dxa" w:w="2880"/>
          </w:tcPr>
          <w:p>
            <w:r>
              <w:t>In-app notification discriminator</w:t>
            </w:r>
          </w:p>
        </w:tc>
      </w:tr>
      <w:tr>
        <w:tc>
          <w:tcPr>
            <w:tcW w:type="dxa" w:w="2880"/>
          </w:tcPr>
          <w:p>
            <w:r>
              <w:t>OtpChannel</w:t>
            </w:r>
          </w:p>
        </w:tc>
        <w:tc>
          <w:tcPr>
            <w:tcW w:type="dxa" w:w="2880"/>
          </w:tcPr>
          <w:p>
            <w:r>
              <w:t>EMAIL, SMS</w:t>
            </w:r>
          </w:p>
        </w:tc>
        <w:tc>
          <w:tcPr>
            <w:tcW w:type="dxa" w:w="2880"/>
          </w:tcPr>
          <w:p>
            <w:r>
              <w:t>Registration OTP delivery channel</w:t>
            </w:r>
          </w:p>
        </w:tc>
      </w:tr>
      <w:tr>
        <w:tc>
          <w:tcPr>
            <w:tcW w:type="dxa" w:w="2880"/>
          </w:tcPr>
          <w:p>
            <w:r>
              <w:t>OtpPurpose</w:t>
            </w:r>
          </w:p>
        </w:tc>
        <w:tc>
          <w:tcPr>
            <w:tcW w:type="dxa" w:w="2880"/>
          </w:tcPr>
          <w:p>
            <w:r>
              <w:t>REGISTRATION</w:t>
            </w:r>
          </w:p>
        </w:tc>
        <w:tc>
          <w:tcPr>
            <w:tcW w:type="dxa" w:w="2880"/>
          </w:tcPr>
          <w:p>
            <w:r>
              <w:t>Only value in use</w:t>
            </w:r>
          </w:p>
        </w:tc>
      </w:tr>
      <w:tr>
        <w:tc>
          <w:tcPr>
            <w:tcW w:type="dxa" w:w="2880"/>
          </w:tcPr>
          <w:p>
            <w:r>
              <w:t>AddressType</w:t>
            </w:r>
          </w:p>
        </w:tc>
        <w:tc>
          <w:tcPr>
            <w:tcW w:type="dxa" w:w="2880"/>
          </w:tcPr>
          <w:p>
            <w:r>
              <w:t>SHIPPING, BILLING</w:t>
            </w:r>
          </w:p>
        </w:tc>
        <w:tc>
          <w:tcPr>
            <w:tcW w:type="dxa" w:w="2880"/>
          </w:tcPr>
          <w:p>
            <w:r>
              <w:t xml:space="preserve">Scopes </w:t>
            </w:r>
            <w:r>
              <w:rPr>
                <w:rFonts w:ascii="Consolas" w:hAnsi="Consolas"/>
                <w:sz w:val="20"/>
              </w:rPr>
              <w:t>Address.isDefault</w:t>
            </w:r>
          </w:p>
        </w:tc>
      </w:tr>
      <w:tr>
        <w:tc>
          <w:tcPr>
            <w:tcW w:type="dxa" w:w="2880"/>
          </w:tcPr>
          <w:p>
            <w:r>
              <w:t>PaymentMethodType</w:t>
            </w:r>
          </w:p>
        </w:tc>
        <w:tc>
          <w:tcPr>
            <w:tcW w:type="dxa" w:w="2880"/>
          </w:tcPr>
          <w:p>
            <w:r>
              <w:t>MOBILE_MONEY, CARD, PAYPAL</w:t>
            </w:r>
          </w:p>
        </w:tc>
        <w:tc>
          <w:tcPr>
            <w:tcW w:type="dxa" w:w="2880"/>
          </w:tcPr>
          <w:p>
            <w:r>
              <w:t>Only MOBILE_MONEY fully supported</w:t>
            </w:r>
          </w:p>
        </w:tc>
      </w:tr>
      <w:tr>
        <w:tc>
          <w:tcPr>
            <w:tcW w:type="dxa" w:w="2880"/>
          </w:tcPr>
          <w:p>
            <w:r>
              <w:t>ProductStatus</w:t>
            </w:r>
          </w:p>
        </w:tc>
        <w:tc>
          <w:tcPr>
            <w:tcW w:type="dxa" w:w="2880"/>
          </w:tcPr>
          <w:p>
            <w:r>
              <w:t>DRAFT, ACTIVE, ARCHIVED</w:t>
            </w:r>
          </w:p>
        </w:tc>
        <w:tc>
          <w:tcPr>
            <w:tcW w:type="dxa" w:w="2880"/>
          </w:tcPr>
          <w:p>
            <w:r>
              <w:t>ARCHIVED replaces hard-delete once order history exists</w:t>
            </w:r>
          </w:p>
        </w:tc>
      </w:tr>
      <w:tr>
        <w:tc>
          <w:tcPr>
            <w:tcW w:type="dxa" w:w="2880"/>
          </w:tcPr>
          <w:p>
            <w:r>
              <w:t>OrderStatus</w:t>
            </w:r>
          </w:p>
        </w:tc>
        <w:tc>
          <w:tcPr>
            <w:tcW w:type="dxa" w:w="2880"/>
          </w:tcPr>
          <w:p>
            <w:r>
              <w:t>PENDING, PROCESSING, SHIPPED, DELIVERED, REFUND_REQUESTED, REFUNDED, CANCELLED</w:t>
            </w:r>
          </w:p>
        </w:tc>
        <w:tc>
          <w:tcPr>
            <w:tcW w:type="dxa" w:w="2880"/>
          </w:tcPr>
          <w:p>
            <w:r>
              <w:t>Governed by an explicit transition state machine</w:t>
            </w:r>
          </w:p>
        </w:tc>
      </w:tr>
      <w:tr>
        <w:tc>
          <w:tcPr>
            <w:tcW w:type="dxa" w:w="2880"/>
          </w:tcPr>
          <w:p>
            <w:r>
              <w:t>DeliveryStatus</w:t>
            </w:r>
          </w:p>
        </w:tc>
        <w:tc>
          <w:tcPr>
            <w:tcW w:type="dxa" w:w="2880"/>
          </w:tcPr>
          <w:p>
            <w:r>
              <w:t>ASSIGNED, EN_ROUTE_TO_PICKUP, PICKED_UP, EN_ROUTE_TO_CUSTOMER, DELIVERED, FAILED</w:t>
            </w:r>
          </w:p>
        </w:tc>
        <w:tc>
          <w:tcPr>
            <w:tcW w:type="dxa" w:w="2880"/>
          </w:tcPr>
          <w:p>
            <w:r>
              <w:t xml:space="preserve">Driver App (commit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, not in original SRS) —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>/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 xml:space="preserve"> mirror onto </w:t>
            </w:r>
            <w:r>
              <w:rPr>
                <w:rFonts w:ascii="Consolas" w:hAnsi="Consolas"/>
                <w:sz w:val="20"/>
              </w:rPr>
              <w:t>Order.status</w:t>
            </w:r>
            <w:r>
              <w:t xml:space="preserve"> (SHIPPED/DELIVERED respectively); </w:t>
            </w:r>
            <w:r>
              <w:rPr>
                <w:rFonts w:ascii="Consolas" w:hAnsi="Consolas"/>
                <w:sz w:val="20"/>
              </w:rPr>
              <w:t>FAILED</w:t>
            </w:r>
            <w:r>
              <w:t xml:space="preserve"> reachable from any in-progress state, terminal like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2880"/>
          </w:tcPr>
          <w:p>
            <w:r>
              <w:t>DriverStatus</w:t>
            </w:r>
          </w:p>
        </w:tc>
        <w:tc>
          <w:tcPr>
            <w:tcW w:type="dxa" w:w="2880"/>
          </w:tcPr>
          <w:p>
            <w:r>
              <w:t>OFFLINE, AVAILABLE, ON_DELIVERY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self-reported driver availability, </w:t>
            </w:r>
            <w:r>
              <w:rPr>
                <w:rFonts w:ascii="Consolas" w:hAnsi="Consolas"/>
                <w:sz w:val="20"/>
              </w:rPr>
              <w:t>User.driverStatus</w:t>
            </w:r>
          </w:p>
        </w:tc>
      </w:tr>
      <w:tr>
        <w:tc>
          <w:tcPr>
            <w:tcW w:type="dxa" w:w="2880"/>
          </w:tcPr>
          <w:p>
            <w:r>
              <w:t>DeliveryPriority</w:t>
            </w:r>
          </w:p>
        </w:tc>
        <w:tc>
          <w:tcPr>
            <w:tcW w:type="dxa" w:w="2880"/>
          </w:tcPr>
          <w:p>
            <w:r>
              <w:t>NORMAL, URGENT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assignment, ordering hint for the driver's own list</w:t>
            </w:r>
          </w:p>
        </w:tc>
      </w:tr>
      <w:tr>
        <w:tc>
          <w:tcPr>
            <w:tcW w:type="dxa" w:w="2880"/>
          </w:tcPr>
          <w:p>
            <w:r>
              <w:t>DeliveryMethod</w:t>
            </w:r>
          </w:p>
        </w:tc>
        <w:tc>
          <w:tcPr>
            <w:tcW w:type="dxa" w:w="2880"/>
          </w:tcPr>
          <w:p>
            <w:r>
              <w:t>STANDARD, EXPRESS, SAME_DAY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CouponType</w:t>
            </w:r>
          </w:p>
        </w:tc>
        <w:tc>
          <w:tcPr>
            <w:tcW w:type="dxa" w:w="2880"/>
          </w:tcPr>
          <w:p>
            <w:r>
              <w:t>PERCENT_OFF, FIXED_OFF, FREE_SHIPPING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TicketStatus</w:t>
            </w:r>
          </w:p>
        </w:tc>
        <w:tc>
          <w:tcPr>
            <w:tcW w:type="dxa" w:w="2880"/>
          </w:tcPr>
          <w:p>
            <w:r>
              <w:t>OPEN, IN_PROGRESS, RESOLVED,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CmsStatus</w:t>
            </w:r>
          </w:p>
        </w:tc>
        <w:tc>
          <w:tcPr>
            <w:tcW w:type="dxa" w:w="2880"/>
          </w:tcPr>
          <w:p>
            <w:r>
              <w:t>DRAFT, PUBLISHED</w:t>
            </w:r>
          </w:p>
        </w:tc>
        <w:tc>
          <w:tcPr>
            <w:tcW w:type="dxa" w:w="2880"/>
          </w:tcPr>
          <w:p>
            <w:r>
              <w:t>Shared by CmsPage/BlogPost</w:t>
            </w:r>
          </w:p>
        </w:tc>
      </w:tr>
      <w:tr>
        <w:tc>
          <w:tcPr>
            <w:tcW w:type="dxa" w:w="2880"/>
          </w:tcPr>
          <w:p>
            <w:r>
              <w:t>EmploymentType</w:t>
            </w:r>
          </w:p>
        </w:tc>
        <w:tc>
          <w:tcPr>
            <w:tcW w:type="dxa" w:w="2880"/>
          </w:tcPr>
          <w:p>
            <w:r>
              <w:t>FULL_TIME, PART_TIME, CONTRACT, INTERN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EmploymentStatus</w:t>
            </w:r>
          </w:p>
        </w:tc>
        <w:tc>
          <w:tcPr>
            <w:tcW w:type="dxa" w:w="2880"/>
          </w:tcPr>
          <w:p>
            <w:r>
              <w:t>ACTIVE, ON_LEAVE, SUSPENDED, TERMINATED</w:t>
            </w:r>
          </w:p>
        </w:tc>
        <w:tc>
          <w:tcPr>
            <w:tcW w:type="dxa" w:w="2880"/>
          </w:tcPr>
          <w:p>
            <w:r>
              <w:t>TERMINATED is the "delete" for Employee</w:t>
            </w:r>
          </w:p>
        </w:tc>
      </w:tr>
      <w:tr>
        <w:tc>
          <w:tcPr>
            <w:tcW w:type="dxa" w:w="2880"/>
          </w:tcPr>
          <w:p>
            <w:r>
              <w:t>EmploymentChangeType</w:t>
            </w:r>
          </w:p>
        </w:tc>
        <w:tc>
          <w:tcPr>
            <w:tcW w:type="dxa" w:w="2880"/>
          </w:tcPr>
          <w:p>
            <w:r>
              <w:t>HIRED, PROMOTION, TRANSFER, SALARY_CHANGE, ROLE_CHANGE, SUSPENSION, REINSTATEMENT, TERMINATION, REHIRE</w:t>
            </w:r>
          </w:p>
        </w:tc>
        <w:tc>
          <w:tcPr>
            <w:tcW w:type="dxa" w:w="2880"/>
          </w:tcPr>
          <w:p>
            <w:r>
              <w:t xml:space="preserve">Drives auto-logged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 rows</w:t>
            </w:r>
          </w:p>
        </w:tc>
      </w:tr>
      <w:tr>
        <w:tc>
          <w:tcPr>
            <w:tcW w:type="dxa" w:w="2880"/>
          </w:tcPr>
          <w:p>
            <w:r>
              <w:t>EmployeeDocumentType</w:t>
            </w:r>
          </w:p>
        </w:tc>
        <w:tc>
          <w:tcPr>
            <w:tcW w:type="dxa" w:w="2880"/>
          </w:tcPr>
          <w:p>
            <w:r>
              <w:t>CONTRACT, ID_DOCUMENT, CERTIFICATE, PERFORMANCE_NOTE,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PermissionResource</w:t>
            </w:r>
          </w:p>
        </w:tc>
        <w:tc>
          <w:tcPr>
            <w:tcW w:type="dxa" w:w="2880"/>
          </w:tcPr>
          <w:p>
            <w:r>
              <w:t>PRODUCTS, ORDERS, INVENTORY, CUSTOMERS, MARKETING, CMS, SETTINGS, HR_DASHBOARD, HR_EMPLOYEES, HR_ATTENDANCE, HR_LEAVE, HR_SHIFTS, HR_RECRUITMENT, HR_PAYROLL, HR_PERFORMANCE</w:t>
            </w:r>
          </w:p>
        </w:tc>
        <w:tc>
          <w:tcPr>
            <w:tcW w:type="dxa" w:w="2880"/>
          </w:tcPr>
          <w:p>
            <w:r>
              <w:t xml:space="preserve">One per admin nav area — mirrors </w:t>
            </w:r>
            <w:r>
              <w:rPr>
                <w:rFonts w:ascii="Consolas" w:hAnsi="Consolas"/>
                <w:sz w:val="20"/>
              </w:rPr>
              <w:t>admin-shell.tsx</w:t>
            </w:r>
            <w:r>
              <w:t xml:space="preserve"> exactly</w:t>
            </w:r>
          </w:p>
        </w:tc>
      </w:tr>
      <w:tr>
        <w:tc>
          <w:tcPr>
            <w:tcW w:type="dxa" w:w="2880"/>
          </w:tcPr>
          <w:p>
            <w:r>
              <w:t>AttendanceSource</w:t>
            </w:r>
          </w:p>
        </w:tc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2880"/>
          </w:tcPr>
          <w:p>
            <w:r>
              <w:t>LeaveType</w:t>
            </w:r>
          </w:p>
        </w:tc>
        <w:tc>
          <w:tcPr>
            <w:tcW w:type="dxa" w:w="2880"/>
          </w:tcPr>
          <w:p>
            <w:r>
              <w:t>ANNUAL, SICK, MATERNITY, PATERNITY, UNPAID,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LeaveRequestStatus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ShiftStatus</w:t>
            </w:r>
          </w:p>
        </w:tc>
        <w:tc>
          <w:tcPr>
            <w:tcW w:type="dxa" w:w="2880"/>
          </w:tcPr>
          <w:p>
            <w:r>
              <w:t>SCHEDULED,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ShiftSwapStatus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GoalStatus</w:t>
            </w:r>
          </w:p>
        </w:tc>
        <w:tc>
          <w:tcPr>
            <w:tcW w:type="dxa" w:w="2880"/>
          </w:tcPr>
          <w:p>
            <w:r>
              <w:t>NOT_STARTED, IN_PROGRESS, COMPLETED, MISSED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ReviewStatus</w:t>
            </w:r>
          </w:p>
        </w:tc>
        <w:tc>
          <w:tcPr>
            <w:tcW w:type="dxa" w:w="2880"/>
          </w:tcPr>
          <w:p>
            <w:r>
              <w:t>DRAFT, SUBMITTED, ACKNOWLEDGED</w:t>
            </w:r>
          </w:p>
        </w:tc>
        <w:tc>
          <w:tcPr>
            <w:tcW w:type="dxa" w:w="2880"/>
          </w:tcPr>
          <w:p>
            <w:r>
              <w:t>SUBMITTED locks content until the employee acknowledges</w:t>
            </w:r>
          </w:p>
        </w:tc>
      </w:tr>
      <w:tr>
        <w:tc>
          <w:tcPr>
            <w:tcW w:type="dxa" w:w="2880"/>
          </w:tcPr>
          <w:p>
            <w:r>
              <w:t>JobPostingStatus</w:t>
            </w:r>
          </w:p>
        </w:tc>
        <w:tc>
          <w:tcPr>
            <w:tcW w:type="dxa" w:w="2880"/>
          </w:tcPr>
          <w:p>
            <w:r>
              <w:t>DRAFT, OPEN, CLOSED, FILLED</w:t>
            </w:r>
          </w:p>
        </w:tc>
        <w:tc>
          <w:tcPr>
            <w:tcW w:type="dxa" w:w="2880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2880"/>
          </w:tcPr>
          <w:p>
            <w:r>
              <w:t>ApplicantStage</w:t>
            </w:r>
          </w:p>
        </w:tc>
        <w:tc>
          <w:tcPr>
            <w:tcW w:type="dxa" w:w="2880"/>
          </w:tcPr>
          <w:p>
            <w:r>
              <w:t>APPLIED, SCREENING, INTERVIEW, OFFER, HIRED, REJECTED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PayrollPeriodStatus</w:t>
            </w:r>
          </w:p>
        </w:tc>
        <w:tc>
          <w:tcPr>
            <w:tcW w:type="dxa" w:w="2880"/>
          </w:tcPr>
          <w:p>
            <w:r>
              <w:t>DRAFT, COMPUTED, FINALIZED</w:t>
            </w:r>
          </w:p>
        </w:tc>
        <w:tc>
          <w:tcPr>
            <w:tcW w:type="dxa" w:w="2880"/>
          </w:tcPr>
          <w:p>
            <w:r>
              <w:t>FINALIZED locks the period; advance-ledger balances commit here</w:t>
            </w:r>
          </w:p>
        </w:tc>
      </w:tr>
      <w:tr>
        <w:tc>
          <w:tcPr>
            <w:tcW w:type="dxa" w:w="2880"/>
          </w:tcPr>
          <w:p>
            <w:r>
              <w:t>PayrollPeriodType</w:t>
            </w:r>
          </w:p>
        </w:tc>
        <w:tc>
          <w:tcPr>
            <w:tcW w:type="dxa" w:w="2880"/>
          </w:tcPr>
          <w:p>
            <w:r>
              <w:t>REGULAR, THIRTEENTH_MONTH</w:t>
            </w:r>
          </w:p>
        </w:tc>
        <w:tc>
          <w:tcPr>
            <w:tcW w:type="dxa" w:w="2880"/>
          </w:tcPr>
          <w:p>
            <w:r>
              <w:t>Separate proration rule, excludes allowances/overtime/bonus/advance recovery</w:t>
            </w:r>
          </w:p>
        </w:tc>
      </w:tr>
      <w:tr>
        <w:tc>
          <w:tcPr>
            <w:tcW w:type="dxa" w:w="2880"/>
          </w:tcPr>
          <w:p>
            <w:r>
              <w:t>AllowanceType</w:t>
            </w:r>
          </w:p>
        </w:tc>
        <w:tc>
          <w:tcPr>
            <w:tcW w:type="dxa" w:w="2880"/>
          </w:tcPr>
          <w:p>
            <w:r>
              <w:t>HOUSING, TRANSPORT, LUNCH, MEDICAL, HARDSHIP,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SalaryAdvanceStatus</w:t>
            </w:r>
          </w:p>
        </w:tc>
        <w:tc>
          <w:tcPr>
            <w:tcW w:type="dxa" w:w="2880"/>
          </w:tcPr>
          <w:p>
            <w:r>
              <w:t>ACTIVE, PAID_OFF,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PayrollAdjustmentType</w:t>
            </w:r>
          </w:p>
        </w:tc>
        <w:tc>
          <w:tcPr>
            <w:tcW w:type="dxa" w:w="2880"/>
          </w:tcPr>
          <w:p>
            <w:r>
              <w:t>BONUS, PENALTY, OVERTIME, OTHER_EARNING, OTHER_DEDUCTION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ActivityActorType</w:t>
            </w:r>
          </w:p>
        </w:tc>
        <w:tc>
          <w:tcPr>
            <w:tcW w:type="dxa" w:w="2880"/>
          </w:tcPr>
          <w:p>
            <w:r>
              <w:t>CUSTOMER, STAFF, SYSTEM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AccountType</w:t>
            </w:r>
          </w:p>
        </w:tc>
        <w:tc>
          <w:tcPr>
            <w:tcW w:type="dxa" w:w="2880"/>
          </w:tcPr>
          <w:p>
            <w:r>
              <w:t>ASSET, LIABILITY, EQUITY, REVENUE, EXPENSE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CashFlowCategory</w:t>
            </w:r>
          </w:p>
        </w:tc>
        <w:tc>
          <w:tcPr>
            <w:tcW w:type="dxa" w:w="2880"/>
          </w:tcPr>
          <w:p>
            <w:r>
              <w:t>OPERATING, INVESTING, FINANCING</w:t>
            </w:r>
          </w:p>
        </w:tc>
        <w:tc>
          <w:tcPr>
            <w:tcW w:type="dxa" w:w="2880"/>
          </w:tcPr>
          <w:p>
            <w:r>
              <w:t>Drives the indirect-method cash flow statement</w:t>
            </w:r>
          </w:p>
        </w:tc>
      </w:tr>
      <w:tr>
        <w:tc>
          <w:tcPr>
            <w:tcW w:type="dxa" w:w="2880"/>
          </w:tcPr>
          <w:p>
            <w:r>
              <w:t>FiscalPeriodStatus</w:t>
            </w:r>
          </w:p>
        </w:tc>
        <w:tc>
          <w:tcPr>
            <w:tcW w:type="dxa" w:w="2880"/>
          </w:tcPr>
          <w:p>
            <w:r>
              <w:t>OPEN,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JournalEntryStatus</w:t>
            </w:r>
          </w:p>
        </w:tc>
        <w:tc>
          <w:tcPr>
            <w:tcW w:type="dxa" w:w="2880"/>
          </w:tcPr>
          <w:p>
            <w:r>
              <w:t>DRAFT, POSTED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VendorStatus</w:t>
            </w:r>
          </w:p>
        </w:tc>
        <w:tc>
          <w:tcPr>
            <w:tcW w:type="dxa" w:w="2880"/>
          </w:tcPr>
          <w:p>
            <w:r>
              <w:t>ACTIVE, SUSPENDED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VendorPayoutStatus</w:t>
            </w:r>
          </w:p>
        </w:tc>
        <w:tc>
          <w:tcPr>
            <w:tcW w:type="dxa" w:w="2880"/>
          </w:tcPr>
          <w:p>
            <w:r>
              <w:t>PENDING, PAID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PaymentProvider</w:t>
            </w:r>
          </w:p>
        </w:tc>
        <w:tc>
          <w:tcPr>
            <w:tcW w:type="dxa" w:w="2880"/>
          </w:tcPr>
          <w:p>
            <w:r>
              <w:t>FLUTTERWAVE</w:t>
            </w:r>
          </w:p>
        </w:tc>
        <w:tc>
          <w:tcPr>
            <w:tcW w:type="dxa" w:w="2880"/>
          </w:tcPr>
          <w:p>
            <w:r>
              <w:t>Only integrated gateway</w:t>
            </w:r>
          </w:p>
        </w:tc>
      </w:tr>
      <w:tr>
        <w:tc>
          <w:tcPr>
            <w:tcW w:type="dxa" w:w="2880"/>
          </w:tcPr>
          <w:p>
            <w:r>
              <w:t>PaymentTransactionStatus</w:t>
            </w:r>
          </w:p>
        </w:tc>
        <w:tc>
          <w:tcPr>
            <w:tcW w:type="dxa" w:w="2880"/>
          </w:tcPr>
          <w:p>
            <w:r>
              <w:t>PENDING, SUCCESSFUL, FAILED, REFUNDED, CHARGEBACK</w:t>
            </w:r>
          </w:p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2-entity-relationship-diagram.docx" TargetMode="External"/><Relationship Id="rId11" Type="http://schemas.openxmlformats.org/officeDocument/2006/relationships/hyperlink" Target="./21-data-flow-diagra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23. Data Dictionary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