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r>
        <w:tc>
          <w:tcPr>
            <w:tcW w:type="dxa" w:w="2160"/>
          </w:tcPr>
          <w:p>
            <w:r>
              <w:t>21</w:t>
            </w:r>
          </w:p>
        </w:tc>
        <w:tc>
          <w:tcPr>
            <w:tcW w:type="dxa" w:w="2160"/>
          </w:tcPr>
          <w:p>
            <w:hyperlink r:id="rId30">
              <w:r>
                <w:rPr>
                  <w:color w:val="0563C1"/>
                  <w:u w:val="single"/>
                </w:rPr>
                <w:t xml:space="preserve">Data Flow Diagram</w:t>
              </w:r>
            </w:hyperlink>
          </w:p>
        </w:tc>
        <w:tc>
          <w:tcPr>
            <w:tcW w:type="dxa" w:w="2160"/>
          </w:tcPr>
          <w:p>
            <w:r>
              <w:t>— (not a template section; a supplementary technical artifact)</w:t>
            </w:r>
          </w:p>
        </w:tc>
        <w:tc>
          <w:tcPr>
            <w:tcW w:type="dxa" w:w="2160"/>
          </w:tcPr>
          <w:p>
            <w:r>
              <w:t>Level 0 context diagram + Level 1 diagrams for registration/OTP, login (incl. the suspend/delete gate), checkout, inventory, admin customer management, payroll — ASCII, not Mermaid (see the doc's own note on why)</w:t>
            </w:r>
          </w:p>
        </w:tc>
      </w:tr>
      <w:tr>
        <w:tc>
          <w:tcPr>
            <w:tcW w:type="dxa" w:w="2160"/>
          </w:tcPr>
          <w:p>
            <w:r>
              <w:t>22</w:t>
            </w:r>
          </w:p>
        </w:tc>
        <w:tc>
          <w:tcPr>
            <w:tcW w:type="dxa" w:w="2160"/>
          </w:tcPr>
          <w:p>
            <w:hyperlink r:id="rId31">
              <w:r>
                <w:rPr>
                  <w:color w:val="0563C1"/>
                  <w:u w:val="single"/>
                </w:rPr>
                <w:t xml:space="preserve">Entity Relationship Diagram</w:t>
              </w:r>
            </w:hyperlink>
          </w:p>
        </w:tc>
        <w:tc>
          <w:tcPr>
            <w:tcW w:type="dxa" w:w="2160"/>
          </w:tcPr>
          <w:p>
            <w:r>
              <w:t>— (not a template section; a supplementary technical artifact)</w:t>
            </w:r>
          </w:p>
        </w:tc>
        <w:tc>
          <w:tcPr>
            <w:tcW w:type="dxa" w:w="2160"/>
          </w:tcPr>
          <w:p>
            <w:r>
              <w:t xml:space="preserve">Every FK relationship as one table row, plus small per-domain ASCII ER diagrams — complements </w:t>
            </w:r>
            <w:hyperlink r:id="rId12">
              <w:r>
                <w:rPr>
                  <w:color w:val="0563C1"/>
                  <w:u w:val="single"/>
                </w:rPr>
                <w:t xml:space="preserve">`03`</w:t>
              </w:r>
            </w:hyperlink>
            <w:r>
              <w:t>'s narrative overview with the field/relationship detail it doesn't carry</w:t>
            </w:r>
          </w:p>
        </w:tc>
      </w:tr>
      <w:tr>
        <w:tc>
          <w:tcPr>
            <w:tcW w:type="dxa" w:w="2160"/>
          </w:tcPr>
          <w:p>
            <w:r>
              <w:t>23</w:t>
            </w:r>
          </w:p>
        </w:tc>
        <w:tc>
          <w:tcPr>
            <w:tcW w:type="dxa" w:w="2160"/>
          </w:tcPr>
          <w:p>
            <w:hyperlink r:id="rId32">
              <w:r>
                <w:rPr>
                  <w:color w:val="0563C1"/>
                  <w:u w:val="single"/>
                </w:rPr>
                <w:t xml:space="preserve">Data Dictionary</w:t>
              </w:r>
            </w:hyperlink>
          </w:p>
        </w:tc>
        <w:tc>
          <w:tcPr>
            <w:tcW w:type="dxa" w:w="2160"/>
          </w:tcPr>
          <w:p>
            <w:r>
              <w:t>— (not a template section; a supplementary technical artifact)</w:t>
            </w:r>
          </w:p>
        </w:tc>
        <w:tc>
          <w:tcPr>
            <w:tcW w:type="dxa" w:w="2160"/>
          </w:tcPr>
          <w:p>
            <w:r>
              <w:t xml:space="preserve">Full field-by-field reference for every model (~60) and enum (~35) in </w:t>
            </w:r>
            <w:r>
              <w:rPr>
                <w:rFonts w:ascii="Consolas" w:hAnsi="Consolas"/>
                <w:sz w:val="20"/>
              </w:rPr>
              <w:t>schema.prisma</w:t>
            </w:r>
          </w:p>
        </w:tc>
      </w:tr>
    </w:tbl>
    <w:p>
      <w:r>
        <w:t xml:space="preserve">All three (21–23) carry their own "generated against commit </w:t>
      </w:r>
      <w:r>
        <w:rPr>
          <w:rFonts w:ascii="Consolas" w:hAnsi="Consolas"/>
          <w:sz w:val="20"/>
        </w:rPr>
        <w:t>X</w:t>
      </w:r>
      <w:r>
        <w:t>" freshness note — they're point-in-time artifacts, not auto-synced to the live schema; re-generate by hand after a schema change rather than trusting them blindly during a stale-looking review.</w:t>
      </w:r>
    </w:p>
    <w:p>
      <w:pPr>
        <w:pStyle w:val="Heading2"/>
      </w:pPr>
      <w:r>
        <w:t>Cross-cutting themes (appear in multiple documents — read once, applies everywhere)</w:t>
      </w:r>
    </w:p>
    <w:p>
      <w:pPr>
        <w:pStyle w:val="ListBullet"/>
      </w:pPr>
      <w:r>
        <w:rPr>
          <w:b/>
        </w:rPr>
        <w:t>Production exists now</w:t>
      </w:r>
      <w:r>
        <w:t xml:space="preserve"> — </w:t>
      </w:r>
      <w:r>
        <w:rPr>
          <w:rFonts w:ascii="Consolas" w:hAnsi="Consolas"/>
          <w:sz w:val="20"/>
        </w:rPr>
        <w:t>api</w:t>
      </w:r>
      <w:r>
        <w:t xml:space="preserve"> (Render), </w:t>
      </w:r>
      <w:r>
        <w:rPr>
          <w:rFonts w:ascii="Consolas" w:hAnsi="Consolas"/>
          <w:sz w:val="20"/>
        </w:rPr>
        <w:t>storefront</w:t>
      </w:r>
      <w:r>
        <w:t xml:space="preserve">, and </w:t>
      </w:r>
      <w:r>
        <w:rPr>
          <w:rFonts w:ascii="Consolas" w:hAnsi="Consolas"/>
          <w:sz w:val="20"/>
        </w:rPr>
        <w:t>admin</w:t>
      </w:r>
      <w:r>
        <w:t xml:space="preserve"> (both Netlify) are live and auto-deploy on push to </w:t>
      </w:r>
      <w:r>
        <w:rPr>
          <w:rFonts w:ascii="Consolas" w:hAnsi="Consolas"/>
          <w:sz w:val="20"/>
        </w:rPr>
        <w:t>main</w:t>
      </w:r>
      <w:r>
        <w:t xml:space="preserve">; see </w:t>
      </w:r>
      <w:hyperlink r:id="rId20">
        <w:r>
          <w:rPr>
            <w:color w:val="0563C1"/>
            <w:u w:val="single"/>
          </w:rPr>
          <w:t xml:space="preserve">`11`</w:t>
        </w:r>
      </w:hyperlink>
      <w:r>
        <w:t xml:space="preserve"> for URLs and config, </w:t>
      </w:r>
      <w:hyperlink r:id="rId11">
        <w:r>
          <w:rPr>
            <w:color w:val="0563C1"/>
            <w:u w:val="single"/>
          </w:rPr>
          <w:t xml:space="preserve">`02`</w:t>
        </w:r>
      </w:hyperlink>
      <w:r>
        <w:t xml:space="preserve"> for the topology. No </w:t>
      </w:r>
      <w:r>
        <w:rPr>
          <w:b/>
        </w:rPr>
        <w:t>staging</w:t>
      </w:r>
      <w:r>
        <w:t xml:space="preserve"> environment exists yet, and no CI pipeline gates the auto-deploy — those two gaps, plus monitoring/backups, are what the remaining "not implemented" markers throughout this doc set actually refer to now, not the absence of production itself. Two real production issues are open: registration OTP delivery is non-functional (no SMTP/SMS provider configured — see </w:t>
      </w:r>
      <w:hyperlink r:id="rId16">
        <w:r>
          <w:rPr>
            <w:color w:val="0563C1"/>
            <w:u w:val="single"/>
          </w:rPr>
          <w:t xml:space="preserve">`07`</w:t>
        </w:r>
      </w:hyperlink>
      <w:r>
        <w:t xml:space="preserve"> and </w:t>
      </w:r>
      <w:hyperlink r:id="rId22">
        <w:r>
          <w:rPr>
            <w:color w:val="0563C1"/>
            <w:u w:val="single"/>
          </w:rPr>
          <w:t xml:space="preserve">`13`</w:t>
        </w:r>
      </w:hyperlink>
      <w:r>
        <w:t xml:space="preserve">), and the free-tier Postgres instance expires 90 days after creation unless upgraded (see </w:t>
      </w:r>
      <w:hyperlink r:id="rId20">
        <w:r>
          <w:rPr>
            <w:color w:val="0563C1"/>
            <w:u w:val="single"/>
          </w:rPr>
          <w:t xml:space="preserve">`11`</w:t>
        </w:r>
      </w:hyperlink>
      <w:r>
        <w:t>).</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Admin-triggered customer suspend/reactivate/delete</w:t>
      </w:r>
      <w:r>
        <w:t xml:space="preserve"> (net-new scope, not in the original SRS, added per explicit user request) — </w:t>
      </w:r>
      <w:r>
        <w:rPr>
          <w:rFonts w:ascii="Consolas" w:hAnsi="Consolas"/>
          <w:sz w:val="20"/>
        </w:rPr>
        <w:t>OWNER</w:t>
      </w:r>
      <w:r>
        <w:t>/</w:t>
      </w:r>
      <w:r>
        <w:rPr>
          <w:rFonts w:ascii="Consolas" w:hAnsi="Consolas"/>
          <w:sz w:val="20"/>
        </w:rPr>
        <w:t>STORE_MANAGER</w:t>
      </w:r>
      <w:r>
        <w:t xml:space="preserve"> can now suspend a customer account (reversible, with a logged reason), reactivate it, or permanently delete it from the Customers (CRM) admin page. </w:t>
      </w:r>
      <w:r>
        <w:rPr>
          <w:rFonts w:ascii="Consolas" w:hAnsi="Consolas"/>
          <w:sz w:val="20"/>
        </w:rPr>
        <w:t>AuthService.completeLogin()</w:t>
      </w:r>
      <w:r>
        <w:t xml:space="preserve"> is the single enforcement point every login path (password, 2FA, Google, WebAuthn) already funnels through; suspending also revokes every active refresh token immediately rather than waiting out the current access token's TTL. See </w:t>
      </w:r>
      <w:hyperlink r:id="rId16">
        <w:r>
          <w:rPr>
            <w:color w:val="0563C1"/>
            <w:u w:val="single"/>
          </w:rPr>
          <w:t xml:space="preserve">`07`</w:t>
        </w:r>
      </w:hyperlink>
      <w:r>
        <w:t xml:space="preserve">, </w:t>
      </w:r>
      <w:hyperlink r:id="rId30">
        <w:r>
          <w:rPr>
            <w:color w:val="0563C1"/>
            <w:u w:val="single"/>
          </w:rPr>
          <w:t xml:space="preserve">`21`</w:t>
        </w:r>
      </w:hyperlink>
      <w:r>
        <w:t xml:space="preserve">'s Admin Customer Management diagram, and </w:t>
      </w:r>
      <w:hyperlink r:id="rId31">
        <w:r>
          <w:rPr>
            <w:color w:val="0563C1"/>
            <w:u w:val="single"/>
          </w:rPr>
          <w:t xml:space="preserve">`22`</w:t>
        </w:r>
      </w:hyperlink>
      <w:r>
        <w:t xml:space="preserve"> for </w:t>
      </w:r>
      <w:r>
        <w:rPr>
          <w:rFonts w:ascii="Consolas" w:hAnsi="Consolas"/>
          <w:sz w:val="20"/>
        </w:rPr>
        <w:t>User.suspendedAt</w:t>
      </w:r>
      <w:r>
        <w:t>/</w:t>
      </w:r>
      <w:r>
        <w:rPr>
          <w:rFonts w:ascii="Consolas" w:hAnsi="Consolas"/>
          <w:sz w:val="20"/>
        </w:rPr>
        <w:t>deletedAt</w:t>
      </w:r>
      <w:r>
        <w:t>'s exact semantics.</w:t>
      </w:r>
    </w:p>
    <w:p>
      <w:pPr>
        <w:pStyle w:val="ListBullet"/>
      </w:pPr>
      <w:r>
        <w:rPr>
          <w:b/>
        </w:rPr>
        <w:t>Netlify "Account credit usage exceeded" platform bug</w:t>
      </w:r>
      <w:r>
        <w:t xml:space="preserve"> — confirmed account-wide (blocks both admin and storefront deploys), despite the account's own API showing </w:t>
      </w:r>
      <w:r>
        <w:rPr>
          <w:rFonts w:ascii="Consolas" w:hAnsi="Consolas"/>
          <w:sz w:val="20"/>
        </w:rPr>
        <w:t>{included: 300, used: 0}</w:t>
      </w:r>
      <w:r>
        <w:t xml:space="preserve"> (zero credits actually used, full monthly allotment available). A documented, actively-reported Netlify-side bug, not a ChrisPa issue — see </w:t>
      </w:r>
      <w:hyperlink r:id="rId22">
        <w:r>
          <w:rPr>
            <w:color w:val="0563C1"/>
            <w:u w:val="single"/>
          </w:rPr>
          <w:t xml:space="preserve">`13`</w:t>
        </w:r>
      </w:hyperlink>
      <w:r>
        <w:t>'s incident log for the forum references and current status. Any fix pushed while this is open is real and correct in the repo but not yet visible on the live sites — check incident #5's status before assuming a shipped fix is actually live.</w:t>
      </w:r>
    </w:p>
    <w:p>
      <w:pPr>
        <w:pStyle w:val="ListBullet"/>
      </w:pPr>
      <w:r>
        <w:rPr>
          <w:b/>
        </w:rPr>
        <w:t>Checkout redirect bug (fixed in code, not yet live — see above)</w:t>
      </w:r>
      <w:r>
        <w:t xml:space="preserve"> — </w:t>
      </w:r>
      <w:r>
        <w:rPr>
          <w:rFonts w:ascii="Consolas" w:hAnsi="Consolas"/>
          <w:sz w:val="20"/>
        </w:rPr>
        <w:t>POST /checkout</w:t>
      </w:r>
      <w:r>
        <w:t xml:space="preserve"> returns </w:t>
      </w:r>
      <w:r>
        <w:rPr>
          <w:rFonts w:ascii="Consolas" w:hAnsi="Consolas"/>
          <w:sz w:val="20"/>
        </w:rPr>
        <w:t>{ order, checkoutUrl }</w:t>
      </w:r>
      <w:r>
        <w:t xml:space="preserve">; the post-submit redirect read </w:t>
      </w:r>
      <w:r>
        <w:rPr>
          <w:rFonts w:ascii="Consolas" w:hAnsi="Consolas"/>
          <w:sz w:val="20"/>
        </w:rPr>
        <w:t>body.id</w:t>
      </w:r>
      <w:r>
        <w:t xml:space="preserve"> instead of </w:t>
      </w:r>
      <w:r>
        <w:rPr>
          <w:rFonts w:ascii="Consolas" w:hAnsi="Consolas"/>
          <w:sz w:val="20"/>
        </w:rPr>
        <w:t>body.order.id</w:t>
      </w:r>
      <w:r>
        <w:t xml:space="preserve">, sending customers to </w:t>
      </w:r>
      <w:r>
        <w:rPr>
          <w:rFonts w:ascii="Consolas" w:hAnsi="Consolas"/>
          <w:sz w:val="20"/>
        </w:rPr>
        <w:t>/orders/undefined</w:t>
      </w:r>
      <w:r>
        <w:t xml:space="preserve"> and a false "Order not found" after every successful Cash-on-Delivery order. The order itself was always placed correctly — see </w:t>
      </w:r>
      <w:hyperlink r:id="rId22">
        <w:r>
          <w:rPr>
            <w:color w:val="0563C1"/>
            <w:u w:val="single"/>
          </w:rPr>
          <w:t xml:space="preserve">`13`</w:t>
        </w:r>
      </w:hyperlink>
      <w:r>
        <w:t xml:space="preserve"> incident #6.</w:t>
      </w:r>
    </w:p>
    <w:p>
      <w:pPr>
        <w:pStyle w:val="ListBullet"/>
      </w:pPr>
      <w:r>
        <w:rPr>
          <w:b/>
        </w:rPr>
        <w:t>Driver App / delivery-services MVP</w:t>
      </w:r>
      <w:r>
        <w:t xml:space="preserve"> (commits </w:t>
      </w:r>
      <w:r>
        <w:rPr>
          <w:rFonts w:ascii="Consolas" w:hAnsi="Consolas"/>
          <w:sz w:val="20"/>
        </w:rPr>
        <w:t>75b7cff</w:t>
      </w:r>
      <w:r>
        <w:t xml:space="preserve"> then </w:t>
      </w:r>
      <w:r>
        <w:rPr>
          <w:rFonts w:ascii="Consolas" w:hAnsi="Consolas"/>
          <w:sz w:val="20"/>
        </w:rPr>
        <w:t>445a258</w:t>
      </w:r>
      <w:r>
        <w:t xml:space="preserve">, per user request, not in the original SRS) — a new </w:t>
      </w:r>
      <w:r>
        <w:rPr>
          <w:rFonts w:ascii="Consolas" w:hAnsi="Consolas"/>
          <w:sz w:val="20"/>
        </w:rPr>
        <w:t>DRIVER</w:t>
      </w:r>
      <w:r>
        <w:t xml:space="preserve"> staff role, </w:t>
      </w:r>
      <w:r>
        <w:rPr>
          <w:rFonts w:ascii="Consolas" w:hAnsi="Consolas"/>
          <w:sz w:val="20"/>
        </w:rPr>
        <w:t>Delivery</w:t>
      </w:r>
      <w:r>
        <w:t xml:space="preserve"> model (1:1 with </w:t>
      </w:r>
      <w:r>
        <w:rPr>
          <w:rFonts w:ascii="Consolas" w:hAnsi="Consolas"/>
          <w:sz w:val="20"/>
        </w:rPr>
        <w:t>Order</w:t>
      </w:r>
      <w:r>
        <w:t xml:space="preserve">, GPS pickup/delivery capture + timestamps + </w:t>
      </w:r>
      <w:r>
        <w:rPr>
          <w:rFonts w:ascii="Consolas" w:hAnsi="Consolas"/>
          <w:sz w:val="20"/>
        </w:rPr>
        <w:t>priority</w:t>
      </w:r>
      <w:r>
        <w:t xml:space="preserve">, deep-linked to Google Maps rather than an in-app map), </w:t>
      </w:r>
      <w:r>
        <w:rPr>
          <w:rFonts w:ascii="Consolas" w:hAnsi="Consolas"/>
          <w:sz w:val="20"/>
        </w:rPr>
        <w:t>User.driverStatus</w:t>
      </w:r>
      <w:r>
        <w:t xml:space="preserve"> (self-reported availability), real customer notifications at each delivery milestone (via the already-live Brevo/Africa's Talking services), an admin Dashboard "Active Deliveries" panel, and an admin-console "My Deliveries" section for drivers. Route optimization, live in-app maps, automatic dispatch, driver earnings/ commission, surge pricing, QR scanning, and fraud detection were explicitly scoped out — see </w:t>
      </w:r>
      <w:hyperlink r:id="rId25">
        <w:r>
          <w:rPr>
            <w:color w:val="0563C1"/>
            <w:u w:val="single"/>
          </w:rPr>
          <w:t xml:space="preserve">`16`</w:t>
        </w:r>
      </w:hyperlink>
      <w:r>
        <w:t xml:space="preserve">'s "Deliberately not built" list for why each one. Backend is fully live in production (both migrations applied and verified); the admin/storefront UI pieces are code-complete but blocked from reaching the live sites by the still-open Netlify issue above. See </w:t>
      </w:r>
      <w:hyperlink r:id="rId12">
        <w:r>
          <w:rPr>
            <w:color w:val="0563C1"/>
            <w:u w:val="single"/>
          </w:rPr>
          <w:t xml:space="preserve">`03`</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 xml:space="preserve"> for the model, RBAC, and usage walkthrough respectively — </w:t>
      </w:r>
      <w:hyperlink r:id="rId30">
        <w:r>
          <w:rPr>
            <w:color w:val="0563C1"/>
            <w:u w:val="single"/>
          </w:rPr>
          <w:t xml:space="preserve">`21`</w:t>
        </w:r>
      </w:hyperlink>
      <w:r>
        <w:t xml:space="preserve">, </w:t>
      </w:r>
      <w:hyperlink r:id="rId31">
        <w:r>
          <w:rPr>
            <w:color w:val="0563C1"/>
            <w:u w:val="single"/>
          </w:rPr>
          <w:t xml:space="preserve">`22`</w:t>
        </w:r>
      </w:hyperlink>
      <w:r>
        <w:t xml:space="preserve">, and </w:t>
      </w:r>
      <w:hyperlink r:id="rId32">
        <w:r>
          <w:rPr>
            <w:color w:val="0563C1"/>
            <w:u w:val="single"/>
          </w:rPr>
          <w:t xml:space="preserve">`23`</w:t>
        </w:r>
      </w:hyperlink>
      <w:r>
        <w:t xml:space="preserve"> have been updated in </w:t>
      </w:r>
      <w:r>
        <w:rPr>
          <w:rFonts w:ascii="Consolas" w:hAnsi="Consolas"/>
          <w:sz w:val="20"/>
        </w:rPr>
        <w:t>.md</w:t>
      </w:r>
      <w:r>
        <w:t xml:space="preserve"> to match but two of the three still have unregenerated </w:t>
      </w:r>
      <w:r>
        <w:rPr>
          <w:rFonts w:ascii="Consolas" w:hAnsi="Consolas"/>
          <w:sz w:val="20"/>
        </w:rPr>
        <w:t>.docx</w:t>
      </w:r>
      <w:r>
        <w:t xml:space="preserve"> files (open in a desktop word processor as of this writing — see those documents' own freshness notes for current status).</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Brevo (HTTP API, not SMTP — see </w:t>
      </w:r>
      <w:hyperlink r:id="rId16">
        <w:r>
          <w:rPr>
            <w:color w:val="0563C1"/>
            <w:u w:val="single"/>
          </w:rPr>
          <w:t xml:space="preserve">`07`</w:t>
        </w:r>
      </w:hyperlink>
      <w:r>
        <w:t xml:space="preserve"> for why) + Africa's Talking delivery — the remaining work is integrating those same services into the other three features). See </w:t>
      </w:r>
      <w:hyperlink r:id="rId33">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21-data-flow-diagram.docx" TargetMode="External"/><Relationship Id="rId31" Type="http://schemas.openxmlformats.org/officeDocument/2006/relationships/hyperlink" Target="./22-entity-relationship-diagram.docx" TargetMode="External"/><Relationship Id="rId32" Type="http://schemas.openxmlformats.org/officeDocument/2006/relationships/hyperlink" Target="./23-data-dictionary.docx" TargetMode="External"/><Relationship Id="rId33"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