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23. Data Dictionary</w:t>
      </w:r>
    </w:p>
    <w:p>
      <w:r>
        <w:t xml:space="preserve">Full field-by-field reference for every model and enum in </w:t>
      </w:r>
      <w:r>
        <w:rPr>
          <w:rFonts w:ascii="Consolas" w:hAnsi="Consolas"/>
          <w:sz w:val="20"/>
        </w:rPr>
        <w:t>apps/api/prisma/schema.prisma</w:t>
      </w:r>
      <w:r>
        <w:t xml:space="preserve">, grouped by the same domain sections as </w:t>
      </w:r>
      <w:hyperlink r:id="rId9">
        <w:r>
          <w:rPr>
            <w:color w:val="0563C1"/>
            <w:u w:val="single"/>
          </w:rPr>
          <w:t xml:space="preserve">`03-database-design.md`</w:t>
        </w:r>
      </w:hyperlink>
      <w:r>
        <w:t xml:space="preserve">'s schema-inventory table. See also </w:t>
      </w:r>
      <w:hyperlink r:id="rId10">
        <w:r>
          <w:rPr>
            <w:color w:val="0563C1"/>
            <w:u w:val="single"/>
          </w:rPr>
          <w:t xml:space="preserve">`22-entity-relationship-diagram.md`</w:t>
        </w:r>
      </w:hyperlink>
      <w:r>
        <w:t xml:space="preserve"> for how these models relate to each other.</w:t>
      </w:r>
    </w:p>
    <w:p>
      <w:r>
        <w:rPr>
          <w:b/>
        </w:rPr>
        <w:t>Freshness note</w:t>
      </w:r>
      <w:r>
        <w:t xml:space="preserve">: generated against commit </w:t>
      </w:r>
      <w:r>
        <w:rPr>
          <w:rFonts w:ascii="Consolas" w:hAnsi="Consolas"/>
          <w:sz w:val="20"/>
        </w:rPr>
        <w:t>3b5fc6a</w:t>
      </w:r>
      <w:r>
        <w:t xml:space="preserve"> (2026-08-16) — a point-in-time artifact, not auto-synced to the live schema; treat any discrepancy with the current </w:t>
      </w:r>
      <w:r>
        <w:rPr>
          <w:rFonts w:ascii="Consolas" w:hAnsi="Consolas"/>
          <w:sz w:val="20"/>
        </w:rPr>
        <w:t>schema.prisma</w:t>
      </w:r>
      <w:r>
        <w:t xml:space="preserve"> as this document having drifted, not the code being wrong.</w:t>
      </w:r>
    </w:p>
    <w:p>
      <w:r>
        <w:rPr>
          <w:b/>
        </w:rPr>
        <w:t>Conventions used throughout</w:t>
      </w:r>
      <w:r>
        <w:t xml:space="preserve"> (see </w:t>
      </w:r>
      <w:r>
        <w:rPr>
          <w:rFonts w:ascii="Consolas" w:hAnsi="Consolas"/>
          <w:sz w:val="20"/>
        </w:rPr>
        <w:t>schema.prisma</w:t>
      </w:r>
      <w:r>
        <w:t xml:space="preserve">'s own header comment and </w:t>
      </w:r>
      <w:r>
        <w:rPr>
          <w:rFonts w:ascii="Consolas" w:hAnsi="Consolas"/>
          <w:sz w:val="20"/>
        </w:rPr>
        <w:t>CLAUDE.md</w:t>
      </w:r>
      <w:r>
        <w:t>): every primary key is a client-generated UUID (</w:t>
      </w:r>
      <w:r>
        <w:rPr>
          <w:rFonts w:ascii="Consolas" w:hAnsi="Consolas"/>
          <w:sz w:val="20"/>
        </w:rPr>
        <w:t>id String @id @default(uuid())</w:t>
      </w:r>
      <w:r>
        <w:t xml:space="preserve">, omitted from "Notes" below unless it deviates); every </w:t>
      </w:r>
      <w:r>
        <w:rPr>
          <w:rFonts w:ascii="Consolas" w:hAnsi="Consolas"/>
          <w:sz w:val="20"/>
        </w:rPr>
        <w:t>DateTime</w:t>
      </w:r>
      <w:r>
        <w:t xml:space="preserve"> is stored </w:t>
      </w:r>
      <w:r>
        <w:rPr>
          <w:rFonts w:ascii="Consolas" w:hAnsi="Consolas"/>
          <w:sz w:val="20"/>
        </w:rPr>
        <w:t>@db.Timestamptz(3)</w:t>
      </w:r>
      <w:r>
        <w:t xml:space="preserve"> (UTC, never a timezone-naive </w:t>
      </w:r>
      <w:r>
        <w:rPr>
          <w:rFonts w:ascii="Consolas" w:hAnsi="Consolas"/>
          <w:sz w:val="20"/>
        </w:rPr>
        <w:t>timestamp</w:t>
      </w:r>
      <w:r>
        <w:t xml:space="preserve">); non-unique </w:t>
      </w:r>
      <w:r>
        <w:rPr>
          <w:rFonts w:ascii="Consolas" w:hAnsi="Consolas"/>
          <w:sz w:val="20"/>
        </w:rPr>
        <w:t>@@index</w:t>
      </w:r>
      <w:r>
        <w:t xml:space="preserve"> blocks exist on every foreign key not already covered by a </w:t>
      </w:r>
      <w:r>
        <w:rPr>
          <w:rFonts w:ascii="Consolas" w:hAnsi="Consolas"/>
          <w:sz w:val="20"/>
        </w:rPr>
        <w:t>@unique</w:t>
      </w:r>
      <w:r>
        <w:t>/</w:t>
      </w:r>
      <w:r>
        <w:rPr>
          <w:rFonts w:ascii="Consolas" w:hAnsi="Consolas"/>
          <w:sz w:val="20"/>
        </w:rPr>
        <w:t>@@unique</w:t>
      </w:r>
      <w:r>
        <w:t xml:space="preserve"> (Postgres doesn't add these automatically, unlike some other connectors) — index annotations are not repeated per-field below unless they're compound/notable.</w:t>
      </w:r>
    </w:p>
    <w:p>
      <w:pPr>
        <w:pStyle w:val="Heading2"/>
      </w:pPr>
      <w:r>
        <w:t>Identity &amp; auth</w:t>
      </w:r>
    </w:p>
    <w:p>
      <w:pPr>
        <w:pStyle w:val="Heading3"/>
      </w:pPr>
      <w:r>
        <w:t>User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email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  <w:r>
              <w:t xml:space="preserve">; nulled on delete (see </w:t>
            </w:r>
            <w:r>
              <w:rPr>
                <w:rFonts w:ascii="Consolas" w:hAnsi="Consolas"/>
                <w:sz w:val="20"/>
              </w:rPr>
              <w:t>deletedAt</w:t>
            </w:r>
            <w:r>
              <w:t>)</w:t>
            </w:r>
          </w:p>
        </w:tc>
      </w:tr>
      <w:tr>
        <w:tc>
          <w:tcPr>
            <w:tcW w:type="dxa" w:w="1728"/>
          </w:tcPr>
          <w:p>
            <w:r>
              <w:t>phone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  <w:r>
              <w:t>; nulled on delete</w:t>
            </w:r>
          </w:p>
        </w:tc>
      </w:tr>
      <w:tr>
        <w:tc>
          <w:tcPr>
            <w:tcW w:type="dxa" w:w="1728"/>
          </w:tcPr>
          <w:p>
            <w:r>
              <w:t>name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preferredName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avatarUrl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Pasted image URL — no upload/object-storage pipeline</w:t>
            </w:r>
          </w:p>
        </w:tc>
      </w:tr>
      <w:tr>
        <w:tc>
          <w:tcPr>
            <w:tcW w:type="dxa" w:w="1728"/>
          </w:tcPr>
          <w:p>
            <w:r>
              <w:t>passwordHash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Null for a Google-only account, or once deleted</w:t>
            </w:r>
          </w:p>
        </w:tc>
      </w:tr>
      <w:tr>
        <w:tc>
          <w:tcPr>
            <w:tcW w:type="dxa" w:w="1728"/>
          </w:tcPr>
          <w:p>
            <w:r>
              <w:t>role</w:t>
            </w:r>
          </w:p>
        </w:tc>
        <w:tc>
          <w:tcPr>
            <w:tcW w:type="dxa" w:w="1728"/>
          </w:tcPr>
          <w:p>
            <w:r>
              <w:t>UserRole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CUSTOMER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tier</w:t>
            </w:r>
          </w:p>
        </w:tc>
        <w:tc>
          <w:tcPr>
            <w:tcW w:type="dxa" w:w="1728"/>
          </w:tcPr>
          <w:p>
            <w:r>
              <w:t>CustomerTier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STANDARD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dateOfBirth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gender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wellnessPreferences</w:t>
            </w:r>
          </w:p>
        </w:tc>
        <w:tc>
          <w:tcPr>
            <w:tcW w:type="dxa" w:w="1728"/>
          </w:tcPr>
          <w:p>
            <w:r>
              <w:t>String[]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[]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twoFactorEnabled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false</w:t>
            </w:r>
          </w:p>
        </w:tc>
        <w:tc>
          <w:tcPr>
            <w:tcW w:type="dxa" w:w="1728"/>
          </w:tcPr>
          <w:p>
            <w:r>
              <w:t>TOTP 2FA, enforced at login</w:t>
            </w:r>
          </w:p>
        </w:tc>
      </w:tr>
      <w:tr>
        <w:tc>
          <w:tcPr>
            <w:tcW w:type="dxa" w:w="1728"/>
          </w:tcPr>
          <w:p>
            <w:r>
              <w:t>twoFactorSecret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Encrypted at rest (AES-256-GCM) — verifying TOTP needs it back, so it can't be one-way hashed</w:t>
            </w:r>
          </w:p>
        </w:tc>
      </w:tr>
      <w:tr>
        <w:tc>
          <w:tcPr>
            <w:tcW w:type="dxa" w:w="1728"/>
          </w:tcPr>
          <w:p>
            <w:r>
              <w:t>biometricEnabled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false</w:t>
            </w:r>
          </w:p>
        </w:tc>
        <w:tc>
          <w:tcPr>
            <w:tcW w:type="dxa" w:w="1728"/>
          </w:tcPr>
          <w:p>
            <w:r>
              <w:t>True once ≥1 WebAuthnCredential exists</w:t>
            </w:r>
          </w:p>
        </w:tc>
      </w:tr>
      <w:tr>
        <w:tc>
          <w:tcPr>
            <w:tcW w:type="dxa" w:w="1728"/>
          </w:tcPr>
          <w:p>
            <w:r>
              <w:t>notifyOrderUpdatesSms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notifyOrderUpdatesEmail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notifyPromotions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false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notifyPush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notifyLoginAlerts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false</w:t>
            </w:r>
          </w:p>
        </w:tc>
        <w:tc>
          <w:tcPr>
            <w:tcW w:type="dxa" w:w="1728"/>
          </w:tcPr>
          <w:p>
            <w:r>
              <w:t>Delivered in-app only, no SMS/email provider</w:t>
            </w:r>
          </w:p>
        </w:tc>
      </w:tr>
      <w:tr>
        <w:tc>
          <w:tcPr>
            <w:tcW w:type="dxa" w:w="1728"/>
          </w:tcPr>
          <w:p>
            <w:r>
              <w:t>mustChangePassword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false</w:t>
            </w:r>
          </w:p>
        </w:tc>
        <w:tc>
          <w:tcPr>
            <w:tcW w:type="dxa" w:w="1728"/>
          </w:tcPr>
          <w:p>
            <w:r>
              <w:t xml:space="preserve">Set on staff temp-password issuance; enforced globally by </w:t>
            </w:r>
            <w:r>
              <w:rPr>
                <w:rFonts w:ascii="Consolas" w:hAnsi="Consolas"/>
                <w:sz w:val="20"/>
              </w:rPr>
              <w:t>MustChangePasswordGuard</w:t>
            </w:r>
          </w:p>
        </w:tc>
      </w:tr>
      <w:tr>
        <w:tc>
          <w:tcPr>
            <w:tcW w:type="dxa" w:w="1728"/>
          </w:tcPr>
          <w:p>
            <w:r>
              <w:t>emailVerifiedAt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Set once registration OTP (email) is confirmed</w:t>
            </w:r>
          </w:p>
        </w:tc>
      </w:tr>
      <w:tr>
        <w:tc>
          <w:tcPr>
            <w:tcW w:type="dxa" w:w="1728"/>
          </w:tcPr>
          <w:p>
            <w:r>
              <w:t>phoneVerifiedAt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Set once registration OTP (SMS) is confirmed</w:t>
            </w:r>
          </w:p>
        </w:tc>
      </w:tr>
      <w:tr>
        <w:tc>
          <w:tcPr>
            <w:tcW w:type="dxa" w:w="1728"/>
          </w:tcPr>
          <w:p>
            <w:r>
              <w:t>googleId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  <w:r>
              <w:t>; set on first Google sign-in</w:t>
            </w:r>
          </w:p>
        </w:tc>
      </w:tr>
      <w:tr>
        <w:tc>
          <w:tcPr>
            <w:tcW w:type="dxa" w:w="1728"/>
          </w:tcPr>
          <w:p>
            <w:r>
              <w:t>suspendedAt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Admin-triggered, reversible hold — see </w:t>
            </w:r>
            <w:r>
              <w:rPr>
                <w:rFonts w:ascii="Consolas" w:hAnsi="Consolas"/>
                <w:sz w:val="20"/>
              </w:rPr>
              <w:t>CrmService.suspend()</w:t>
            </w:r>
            <w:r>
              <w:t xml:space="preserve">. Blocks login at </w:t>
            </w:r>
            <w:r>
              <w:rPr>
                <w:rFonts w:ascii="Consolas" w:hAnsi="Consolas"/>
                <w:sz w:val="20"/>
              </w:rPr>
              <w:t>completeLogin()</w:t>
            </w:r>
          </w:p>
        </w:tc>
      </w:tr>
      <w:tr>
        <w:tc>
          <w:tcPr>
            <w:tcW w:type="dxa" w:w="1728"/>
          </w:tcPr>
          <w:p>
            <w:r>
              <w:t>suspensionReason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Free text, shown in the admin audit log</w:t>
            </w:r>
          </w:p>
        </w:tc>
      </w:tr>
      <w:tr>
        <w:tc>
          <w:tcPr>
            <w:tcW w:type="dxa" w:w="1728"/>
          </w:tcPr>
          <w:p>
            <w:r>
              <w:t>deletedAt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Terminal — FR-17.4. Row survives, PII scrubbed</w:t>
            </w:r>
          </w:p>
        </w:tc>
      </w:tr>
      <w:tr>
        <w:tc>
          <w:tcPr>
            <w:tcW w:type="dxa" w:w="1728"/>
          </w:tcPr>
          <w:p>
            <w:r>
              <w:t>driverStatus</w:t>
            </w:r>
          </w:p>
        </w:tc>
        <w:tc>
          <w:tcPr>
            <w:tcW w:type="dxa" w:w="1728"/>
          </w:tcPr>
          <w:p>
            <w:r>
              <w:t>DriverStatus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OFFLINE</w:t>
            </w:r>
          </w:p>
        </w:tc>
        <w:tc>
          <w:tcPr>
            <w:tcW w:type="dxa" w:w="1728"/>
          </w:tcPr>
          <w:p>
            <w:r>
              <w:t xml:space="preserve">Added commit </w:t>
            </w:r>
            <w:r>
              <w:rPr>
                <w:rFonts w:ascii="Consolas" w:hAnsi="Consolas"/>
                <w:sz w:val="20"/>
              </w:rPr>
              <w:t>445a258</w:t>
            </w:r>
            <w:r>
              <w:t xml:space="preserve"> — only meaningful for </w:t>
            </w:r>
            <w:r>
              <w:rPr>
                <w:rFonts w:ascii="Consolas" w:hAnsi="Consolas"/>
                <w:sz w:val="20"/>
              </w:rPr>
              <w:t>role: DRIVER</w:t>
            </w:r>
            <w:r>
              <w:t xml:space="preserve">; self-reported via </w:t>
            </w:r>
            <w:r>
              <w:rPr>
                <w:rFonts w:ascii="Consolas" w:hAnsi="Consolas"/>
                <w:sz w:val="20"/>
              </w:rPr>
              <w:t>PATCH /driver/status</w:t>
            </w:r>
            <w:r>
              <w:t xml:space="preserve">, never derived from the driver's own </w:t>
            </w:r>
            <w:r>
              <w:rPr>
                <w:rFonts w:ascii="Consolas" w:hAnsi="Consolas"/>
                <w:sz w:val="20"/>
              </w:rPr>
              <w:t>Delivery</w:t>
            </w:r>
            <w:r>
              <w:t xml:space="preserve"> rows</w:t>
            </w:r>
          </w:p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auto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@updatedAt</w:t>
            </w:r>
          </w:p>
        </w:tc>
      </w:tr>
    </w:tbl>
    <w:p>
      <w:pPr>
        <w:pStyle w:val="Heading3"/>
      </w:pPr>
      <w:r>
        <w:t>RefreshToken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User, Cascade</w:t>
            </w:r>
          </w:p>
        </w:tc>
      </w:tr>
      <w:tr>
        <w:tc>
          <w:tcPr>
            <w:tcW w:type="dxa" w:w="1728"/>
          </w:tcPr>
          <w:p>
            <w:r>
              <w:t>tokenHash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sha256</w:t>
            </w:r>
            <w:r>
              <w:t>, not bcrypt — bcrypt truncates at 72 bytes and these JWTs share a long common prefix per-user, which silently defeated rotation/revocation before this was caught</w:t>
            </w:r>
          </w:p>
        </w:tc>
      </w:tr>
      <w:tr>
        <w:tc>
          <w:tcPr>
            <w:tcW w:type="dxa" w:w="1728"/>
          </w:tcPr>
          <w:p>
            <w:r>
              <w:t>expiresAt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revokedAt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Set on logout, refresh (rotation), or admin suspend/delete</w:t>
            </w:r>
          </w:p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@@index([userId, revokedAt])</w:t>
            </w:r>
            <w:r>
              <w:t xml:space="preserve"> matches </w:t>
            </w:r>
            <w:r>
              <w:rPr>
                <w:rFonts w:ascii="Consolas" w:hAnsi="Consolas"/>
                <w:sz w:val="20"/>
              </w:rPr>
              <w:t>refresh()</w:t>
            </w:r>
            <w:r>
              <w:t>'s lookup</w:t>
            </w:r>
          </w:p>
        </w:tc>
      </w:tr>
    </w:tbl>
    <w:p>
      <w:pPr>
        <w:pStyle w:val="Heading3"/>
      </w:pPr>
      <w:r>
        <w:t>WebAuthnCredential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User, Cascade</w:t>
            </w:r>
          </w:p>
        </w:tc>
      </w:tr>
      <w:tr>
        <w:tc>
          <w:tcPr>
            <w:tcW w:type="dxa" w:w="1728"/>
          </w:tcPr>
          <w:p>
            <w:r>
              <w:t>credentialId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</w:p>
        </w:tc>
      </w:tr>
      <w:tr>
        <w:tc>
          <w:tcPr>
            <w:tcW w:type="dxa" w:w="1728"/>
          </w:tcPr>
          <w:p>
            <w:r>
              <w:t>publicKey</w:t>
            </w:r>
          </w:p>
        </w:tc>
        <w:tc>
          <w:tcPr>
            <w:tcW w:type="dxa" w:w="1728"/>
          </w:tcPr>
          <w:p>
            <w:r>
              <w:t>Bytes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Never anything biometric itself — that never leaves the device</w:t>
            </w:r>
          </w:p>
        </w:tc>
      </w:tr>
      <w:tr>
        <w:tc>
          <w:tcPr>
            <w:tcW w:type="dxa" w:w="1728"/>
          </w:tcPr>
          <w:p>
            <w:r>
              <w:t>counter</w:t>
            </w:r>
          </w:p>
        </w:tc>
        <w:tc>
          <w:tcPr>
            <w:tcW w:type="dxa" w:w="1728"/>
          </w:tcPr>
          <w:p>
            <w:r>
              <w:t>BigInt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Anti-replay counter</w:t>
            </w:r>
          </w:p>
        </w:tc>
      </w:tr>
      <w:tr>
        <w:tc>
          <w:tcPr>
            <w:tcW w:type="dxa" w:w="1728"/>
          </w:tcPr>
          <w:p>
            <w:r>
              <w:t>deviceLabel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lastUsedAt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LoginEvent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User, Cascade</w:t>
            </w:r>
          </w:p>
        </w:tc>
      </w:tr>
      <w:tr>
        <w:tc>
          <w:tcPr>
            <w:tcW w:type="dxa" w:w="1728"/>
          </w:tcPr>
          <w:p>
            <w:r>
              <w:t>ipAddress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userAgent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isNewDevice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false</w:t>
            </w:r>
          </w:p>
        </w:tc>
        <w:tc>
          <w:tcPr>
            <w:tcW w:type="dxa" w:w="1728"/>
          </w:tcPr>
          <w:p>
            <w:r>
              <w:t>Lightweight (ip, userAgent) fingerprint match, not rigorous device identity</w:t>
            </w:r>
          </w:p>
        </w:tc>
      </w:tr>
      <w:tr>
        <w:tc>
          <w:tcPr>
            <w:tcW w:type="dxa" w:w="1728"/>
          </w:tcPr>
          <w:p>
            <w:r>
              <w:t>acknowledgedAt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Dismissal of the in-app alert banner</w:t>
            </w:r>
          </w:p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>
            <w:r>
              <w:t>One row per completed login (not token refresh)</w:t>
            </w:r>
          </w:p>
        </w:tc>
      </w:tr>
    </w:tbl>
    <w:p>
      <w:pPr>
        <w:pStyle w:val="Heading3"/>
      </w:pPr>
      <w:r>
        <w:t>OtpCode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User, Cascade</w:t>
            </w:r>
          </w:p>
        </w:tc>
      </w:tr>
      <w:tr>
        <w:tc>
          <w:tcPr>
            <w:tcW w:type="dxa" w:w="1728"/>
          </w:tcPr>
          <w:p>
            <w:r>
              <w:t>channel</w:t>
            </w:r>
          </w:p>
        </w:tc>
        <w:tc>
          <w:tcPr>
            <w:tcW w:type="dxa" w:w="1728"/>
          </w:tcPr>
          <w:p>
            <w:r>
              <w:t>OtpChannel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EMAIL or SMS</w:t>
            </w:r>
          </w:p>
        </w:tc>
      </w:tr>
      <w:tr>
        <w:tc>
          <w:tcPr>
            <w:tcW w:type="dxa" w:w="1728"/>
          </w:tcPr>
          <w:p>
            <w:r>
              <w:t>purpose</w:t>
            </w:r>
          </w:p>
        </w:tc>
        <w:tc>
          <w:tcPr>
            <w:tcW w:type="dxa" w:w="1728"/>
          </w:tcPr>
          <w:p>
            <w:r>
              <w:t>OtpPurpose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REGISTRATION</w:t>
            </w:r>
          </w:p>
        </w:tc>
        <w:tc>
          <w:tcPr>
            <w:tcW w:type="dxa" w:w="1728"/>
          </w:tcPr>
          <w:p>
            <w:r>
              <w:t>Only value in use today</w:t>
            </w:r>
          </w:p>
        </w:tc>
      </w:tr>
      <w:tr>
        <w:tc>
          <w:tcPr>
            <w:tcW w:type="dxa" w:w="1728"/>
          </w:tcPr>
          <w:p>
            <w:r>
              <w:t>destination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Snapshot of the email/phone at issue time, not a live join to User</w:t>
            </w:r>
          </w:p>
        </w:tc>
      </w:tr>
      <w:tr>
        <w:tc>
          <w:tcPr>
            <w:tcW w:type="dxa" w:w="1728"/>
          </w:tcPr>
          <w:p>
            <w:r>
              <w:t>codeHash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sha256</w:t>
            </w:r>
            <w:r>
              <w:t xml:space="preserve">, same convention as </w:t>
            </w:r>
            <w:r>
              <w:rPr>
                <w:rFonts w:ascii="Consolas" w:hAnsi="Consolas"/>
                <w:sz w:val="20"/>
              </w:rPr>
              <w:t>RefreshToken.tokenHash</w:t>
            </w:r>
          </w:p>
        </w:tc>
      </w:tr>
      <w:tr>
        <w:tc>
          <w:tcPr>
            <w:tcW w:type="dxa" w:w="1728"/>
          </w:tcPr>
          <w:p>
            <w:r>
              <w:t>attempts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Locks out at 5</w:t>
            </w:r>
          </w:p>
        </w:tc>
      </w:tr>
      <w:tr>
        <w:tc>
          <w:tcPr>
            <w:tcW w:type="dxa" w:w="1728"/>
          </w:tcPr>
          <w:p>
            <w:r>
              <w:t>consumedAt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expiresAt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OTP_TTL_MINUTES</w:t>
            </w:r>
            <w:r>
              <w:t>, default 10</w:t>
            </w:r>
          </w:p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@@index([userId, channel, purpose])</w:t>
            </w:r>
          </w:p>
        </w:tc>
      </w:tr>
    </w:tbl>
    <w:p>
      <w:pPr>
        <w:pStyle w:val="Heading3"/>
      </w:pPr>
      <w:r>
        <w:t>Notification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User, Cascade</w:t>
            </w:r>
          </w:p>
        </w:tc>
      </w:tr>
      <w:tr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NotificationType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Only </w:t>
            </w:r>
            <w:r>
              <w:rPr>
                <w:rFonts w:ascii="Consolas" w:hAnsi="Consolas"/>
                <w:sz w:val="20"/>
              </w:rPr>
              <w:t>NEWSLETTER</w:t>
            </w:r>
            <w:r>
              <w:t xml:space="preserve"> in use — deliberately generic for future reuse</w:t>
            </w:r>
          </w:p>
        </w:tc>
      </w:tr>
      <w:tr>
        <w:tc>
          <w:tcPr>
            <w:tcW w:type="dxa" w:w="1728"/>
          </w:tcPr>
          <w:p>
            <w:r>
              <w:t>title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body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linkUrl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readAt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</w:tbl>
    <w:p>
      <w:pPr>
        <w:pStyle w:val="Heading2"/>
      </w:pPr>
      <w:r>
        <w:t>Customer account</w:t>
      </w:r>
    </w:p>
    <w:p>
      <w:pPr>
        <w:pStyle w:val="Heading3"/>
      </w:pPr>
      <w:r>
        <w:t>Address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User, Cascade</w:t>
            </w:r>
          </w:p>
        </w:tc>
      </w:tr>
      <w:tr>
        <w:tc>
          <w:tcPr>
            <w:tcW w:type="dxa" w:w="1728"/>
          </w:tcPr>
          <w:p>
            <w:r>
              <w:t>label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recipient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line1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city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"Kampala"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phone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AddressType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SHIPPING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isDefault</w:t>
            </w:r>
            <w:r>
              <w:t xml:space="preserve"> is scoped per type — one default shipping, one default billing</w:t>
            </w:r>
          </w:p>
        </w:tc>
      </w:tr>
      <w:tr>
        <w:tc>
          <w:tcPr>
            <w:tcW w:type="dxa" w:w="1728"/>
          </w:tcPr>
          <w:p>
            <w:r>
              <w:t>isDefault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false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PaymentMethod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User, Cascade</w:t>
            </w:r>
          </w:p>
        </w:tc>
      </w:tr>
      <w:tr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PaymentMethodType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Only </w:t>
            </w:r>
            <w:r>
              <w:rPr>
                <w:rFonts w:ascii="Consolas" w:hAnsi="Consolas"/>
                <w:sz w:val="20"/>
              </w:rPr>
              <w:t>MOBILE_MONEY</w:t>
            </w:r>
            <w:r>
              <w:t xml:space="preserve"> fully supported; </w:t>
            </w:r>
            <w:r>
              <w:rPr>
                <w:rFonts w:ascii="Consolas" w:hAnsi="Consolas"/>
                <w:sz w:val="20"/>
              </w:rPr>
              <w:t>CARD</w:t>
            </w:r>
            <w:r>
              <w:t xml:space="preserve"> rejected with 501</w:t>
            </w:r>
          </w:p>
        </w:tc>
      </w:tr>
      <w:tr>
        <w:tc>
          <w:tcPr>
            <w:tcW w:type="dxa" w:w="1728"/>
          </w:tcPr>
          <w:p>
            <w:r>
              <w:t>maskedIdentifier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gatewayToken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Never a raw card number — no PCI-DSS gateway</w:t>
            </w:r>
          </w:p>
        </w:tc>
      </w:tr>
      <w:tr>
        <w:tc>
          <w:tcPr>
            <w:tcW w:type="dxa" w:w="1728"/>
          </w:tcPr>
          <w:p>
            <w:r>
              <w:t>isDefault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false</w:t>
            </w:r>
          </w:p>
        </w:tc>
        <w:tc>
          <w:tcPr>
            <w:tcW w:type="dxa" w:w="1728"/>
          </w:tcPr>
          <w:p>
            <w:r>
              <w:t xml:space="preserve">Single flag across all of a user's methods (unlike </w:t>
            </w:r>
            <w:r>
              <w:rPr>
                <w:rFonts w:ascii="Consolas" w:hAnsi="Consolas"/>
                <w:sz w:val="20"/>
              </w:rPr>
              <w:t>Address.isDefault</w:t>
            </w:r>
            <w:r>
              <w:t>)</w:t>
            </w:r>
          </w:p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2"/>
      </w:pPr>
      <w:r>
        <w:t>Catalog</w:t>
      </w:r>
    </w:p>
    <w:p>
      <w:pPr>
        <w:pStyle w:val="Heading3"/>
      </w:pPr>
      <w:r>
        <w:t>ProductLine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name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</w:p>
        </w:tc>
      </w:tr>
      <w:tr>
        <w:tc>
          <w:tcPr>
            <w:tcW w:type="dxa" w:w="1728"/>
          </w:tcPr>
          <w:p>
            <w:r>
              <w:t>slug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</w:p>
        </w:tc>
      </w:tr>
      <w:tr>
        <w:tc>
          <w:tcPr>
            <w:tcW w:type="dxa" w:w="1728"/>
          </w:tcPr>
          <w:p>
            <w:r>
              <w:t>unitSize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WellnessTag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label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</w:p>
        </w:tc>
      </w:tr>
    </w:tbl>
    <w:p>
      <w:pPr>
        <w:pStyle w:val="Heading3"/>
      </w:pPr>
      <w:r>
        <w:t>Product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sku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</w:p>
        </w:tc>
      </w:tr>
      <w:tr>
        <w:tc>
          <w:tcPr>
            <w:tcW w:type="dxa" w:w="1728"/>
          </w:tcPr>
          <w:p>
            <w:r>
              <w:t>name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slug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</w:p>
        </w:tc>
      </w:tr>
      <w:tr>
        <w:tc>
          <w:tcPr>
            <w:tcW w:type="dxa" w:w="1728"/>
          </w:tcPr>
          <w:p>
            <w:r>
              <w:t>productLineId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ProductLine</w:t>
            </w:r>
          </w:p>
        </w:tc>
      </w:tr>
      <w:tr>
        <w:tc>
          <w:tcPr>
            <w:tcW w:type="dxa" w:w="1728"/>
          </w:tcPr>
          <w:p>
            <w:r>
              <w:t>priceUgx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vendorId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Vendor; null = ChrisPa's own product</w:t>
            </w:r>
          </w:p>
        </w:tc>
      </w:tr>
      <w:tr>
        <w:tc>
          <w:tcPr>
            <w:tcW w:type="dxa" w:w="1728"/>
          </w:tcPr>
          <w:p>
            <w:r>
              <w:t>costUgx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COGS basis; null skips COGS posting rather than assuming zero cost</w:t>
            </w:r>
          </w:p>
        </w:tc>
      </w:tr>
      <w:tr>
        <w:tc>
          <w:tcPr>
            <w:tcW w:type="dxa" w:w="1728"/>
          </w:tcPr>
          <w:p>
            <w:r>
              <w:t>stockQty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Denormalized read cache</w:t>
            </w:r>
            <w:r>
              <w:t xml:space="preserve"> — </w:t>
            </w:r>
            <w:r>
              <w:rPr>
                <w:rFonts w:ascii="Consolas" w:hAnsi="Consolas"/>
                <w:sz w:val="20"/>
              </w:rPr>
              <w:t>InventoryRecord</w:t>
            </w:r>
            <w:r>
              <w:t xml:space="preserve"> is the source of truth; nothing keeps this in sync automatically yet</w:t>
            </w:r>
          </w:p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ProductStatus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DRAFT</w:t>
            </w:r>
          </w:p>
        </w:tc>
        <w:tc>
          <w:tcPr>
            <w:tcW w:type="dxa" w:w="1728"/>
          </w:tcPr>
          <w:p>
            <w:r>
              <w:t>Archive, never hard-delete, once real order history exists</w:t>
            </w:r>
          </w:p>
        </w:tc>
      </w:tr>
      <w:tr>
        <w:tc>
          <w:tcPr>
            <w:tcW w:type="dxa" w:w="1728"/>
          </w:tcPr>
          <w:p>
            <w:r>
              <w:t>scentOrFlavorNotes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directions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healthBenefits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seoTitle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seoMeta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@@index([productLineId])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@@index([status, productLineId])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@@index([vendorId])</w:t>
            </w:r>
          </w:p>
        </w:tc>
      </w:tr>
    </w:tbl>
    <w:p>
      <w:pPr>
        <w:pStyle w:val="Heading3"/>
      </w:pPr>
      <w:r>
        <w:t>ProductWellnessTag</w:t>
      </w:r>
    </w:p>
    <w:p>
      <w:r>
        <w:t xml:space="preserve">Join table. Composite PK </w:t>
      </w:r>
      <w:r>
        <w:rPr>
          <w:rFonts w:ascii="Consolas" w:hAnsi="Consolas"/>
          <w:sz w:val="20"/>
        </w:rPr>
        <w:t>(productId, wellnessTagId)</w:t>
      </w:r>
      <w:r>
        <w:t>, both Cascade.</w:t>
      </w:r>
    </w:p>
    <w:p>
      <w:pPr>
        <w:pStyle w:val="Heading3"/>
      </w:pPr>
      <w:r>
        <w:t>ProductMedia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productId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Product, Cascade</w:t>
            </w:r>
          </w:p>
        </w:tc>
      </w:tr>
      <w:tr>
        <w:tc>
          <w:tcPr>
            <w:tcW w:type="dxa" w:w="1728"/>
          </w:tcPr>
          <w:p>
            <w:r>
              <w:t>url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Real upload (</w:t>
            </w:r>
            <w:r>
              <w:rPr>
                <w:rFonts w:ascii="Consolas" w:hAnsi="Consolas"/>
                <w:sz w:val="20"/>
              </w:rPr>
              <w:t>POST /admin/products/media/upload</w:t>
            </w:r>
            <w:r>
              <w:t>), local disk, no CDN</w:t>
            </w:r>
          </w:p>
        </w:tc>
      </w:tr>
      <w:tr>
        <w:tc>
          <w:tcPr>
            <w:tcW w:type="dxa" w:w="1728"/>
          </w:tcPr>
          <w:p>
            <w:r>
              <w:t>sortOrder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Variant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productId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Product, Cascade</w:t>
            </w:r>
          </w:p>
        </w:tc>
      </w:tr>
      <w:tr>
        <w:tc>
          <w:tcPr>
            <w:tcW w:type="dxa" w:w="1728"/>
          </w:tcPr>
          <w:p>
            <w:r>
              <w:t>size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priceDelta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 xml:space="preserve">Added to </w:t>
            </w:r>
            <w:r>
              <w:rPr>
                <w:rFonts w:ascii="Consolas" w:hAnsi="Consolas"/>
                <w:sz w:val="20"/>
              </w:rPr>
              <w:t>Product.priceUgx</w:t>
            </w:r>
          </w:p>
        </w:tc>
      </w:tr>
      <w:tr>
        <w:tc>
          <w:tcPr>
            <w:tcW w:type="dxa" w:w="1728"/>
          </w:tcPr>
          <w:p>
            <w:r>
              <w:t>stockQty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 xml:space="preserve">Same denormalized-cache caveat as </w:t>
            </w:r>
            <w:r>
              <w:rPr>
                <w:rFonts w:ascii="Consolas" w:hAnsi="Consolas"/>
                <w:sz w:val="20"/>
              </w:rPr>
              <w:t>Product.stockQty</w:t>
            </w:r>
          </w:p>
        </w:tc>
      </w:tr>
    </w:tbl>
    <w:p>
      <w:pPr>
        <w:pStyle w:val="Heading2"/>
      </w:pPr>
      <w:r>
        <w:t>Inventory</w:t>
      </w:r>
    </w:p>
    <w:p>
      <w:pPr>
        <w:pStyle w:val="Heading3"/>
      </w:pPr>
      <w:r>
        <w:t>Warehouse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name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</w:p>
        </w:tc>
      </w:tr>
      <w:tr>
        <w:tc>
          <w:tcPr>
            <w:tcW w:type="dxa" w:w="1728"/>
          </w:tcPr>
          <w:p>
            <w:r>
              <w:t>location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InventoryRecord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productId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Product, Cascade</w:t>
            </w:r>
          </w:p>
        </w:tc>
      </w:tr>
      <w:tr>
        <w:tc>
          <w:tcPr>
            <w:tcW w:type="dxa" w:w="1728"/>
          </w:tcPr>
          <w:p>
            <w:r>
              <w:t>warehouseId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Warehouse, Cascade</w:t>
            </w:r>
          </w:p>
        </w:tc>
      </w:tr>
      <w:tr>
        <w:tc>
          <w:tcPr>
            <w:tcW w:type="dxa" w:w="1728"/>
          </w:tcPr>
          <w:p>
            <w:r>
              <w:t>batchLot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Checkout decrements FIFO across batches</w:t>
            </w:r>
          </w:p>
        </w:tc>
      </w:tr>
      <w:tr>
        <w:tc>
          <w:tcPr>
            <w:tcW w:type="dxa" w:w="1728"/>
          </w:tcPr>
          <w:p>
            <w:r>
              <w:t>qtyOnHand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Source of truth for stock, per product × warehouse × batch</w:t>
            </w:r>
          </w:p>
        </w:tc>
      </w:tr>
      <w:tr>
        <w:tc>
          <w:tcPr>
            <w:tcW w:type="dxa" w:w="1728"/>
          </w:tcPr>
          <w:p>
            <w:r>
              <w:t>reorderPoint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Drives low-stock admin flags</w:t>
            </w:r>
          </w:p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@@unique([productId, warehouseId, batchLot])</w:t>
            </w:r>
            <w:r>
              <w:t xml:space="preserve">; </w:t>
            </w:r>
            <w:r>
              <w:rPr>
                <w:rFonts w:ascii="Consolas" w:hAnsi="Consolas"/>
                <w:sz w:val="20"/>
              </w:rPr>
              <w:t>@@index([warehouseId])</w:t>
            </w:r>
          </w:p>
        </w:tc>
      </w:tr>
    </w:tbl>
    <w:p>
      <w:pPr>
        <w:pStyle w:val="Heading2"/>
      </w:pPr>
      <w:r>
        <w:t>Cart &amp; checkout</w:t>
      </w:r>
    </w:p>
    <w:p>
      <w:pPr>
        <w:pStyle w:val="Heading3"/>
      </w:pPr>
      <w:r>
        <w:t>Cart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  <w:r>
              <w:t>, FK → User, Cascade; null for a guest cart</w:t>
            </w:r>
          </w:p>
        </w:tc>
      </w:tr>
      <w:tr>
        <w:tc>
          <w:tcPr>
            <w:tcW w:type="dxa" w:w="1728"/>
          </w:tcPr>
          <w:p>
            <w:r>
              <w:t>sessionId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  <w:r>
              <w:t>; guest-cart identifier</w:t>
            </w:r>
          </w:p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CartItem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cartId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Cart, Cascade</w:t>
            </w:r>
          </w:p>
        </w:tc>
      </w:tr>
      <w:tr>
        <w:tc>
          <w:tcPr>
            <w:tcW w:type="dxa" w:w="1728"/>
          </w:tcPr>
          <w:p>
            <w:r>
              <w:t>productId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Product</w:t>
            </w:r>
          </w:p>
        </w:tc>
      </w:tr>
      <w:tr>
        <w:tc>
          <w:tcPr>
            <w:tcW w:type="dxa" w:w="1728"/>
          </w:tcPr>
          <w:p>
            <w:r>
              <w:t>variantId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Variant</w:t>
            </w:r>
          </w:p>
        </w:tc>
      </w:tr>
      <w:tr>
        <w:tc>
          <w:tcPr>
            <w:tcW w:type="dxa" w:w="1728"/>
          </w:tcPr>
          <w:p>
            <w:r>
              <w:t>qty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@@unique([cartId, productId, variantId])</w:t>
            </w:r>
            <w:r>
              <w:t xml:space="preserve"> — NULL-is-distinct means this doesn't dedupe null-variant rows; handled explicitly in </w:t>
            </w:r>
            <w:r>
              <w:rPr>
                <w:rFonts w:ascii="Consolas" w:hAnsi="Consolas"/>
                <w:sz w:val="20"/>
              </w:rPr>
              <w:t>CartService.addItem()</w:t>
            </w:r>
          </w:p>
        </w:tc>
      </w:tr>
    </w:tbl>
    <w:p>
      <w:pPr>
        <w:pStyle w:val="Heading3"/>
      </w:pPr>
      <w:r>
        <w:t>Order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orderNumber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</w:t>
            </w:r>
          </w:p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OrderStatus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PENDING</w:t>
            </w:r>
          </w:p>
        </w:tc>
        <w:tc>
          <w:tcPr>
            <w:tcW w:type="dxa" w:w="1728"/>
          </w:tcPr>
          <w:p>
            <w:r>
              <w:t xml:space="preserve">State machine — see </w:t>
            </w:r>
            <w:r>
              <w:rPr>
                <w:rFonts w:ascii="Consolas" w:hAnsi="Consolas"/>
                <w:sz w:val="20"/>
              </w:rPr>
              <w:t>ALLOWED_TRANSITIONS</w:t>
            </w:r>
            <w:r>
              <w:t xml:space="preserve"> in </w:t>
            </w:r>
            <w:r>
              <w:rPr>
                <w:rFonts w:ascii="Consolas" w:hAnsi="Consolas"/>
                <w:sz w:val="20"/>
              </w:rPr>
              <w:t>orders.service.ts</w:t>
            </w:r>
          </w:p>
        </w:tc>
      </w:tr>
      <w:tr>
        <w:tc>
          <w:tcPr>
            <w:tcW w:type="dxa" w:w="1728"/>
          </w:tcPr>
          <w:p>
            <w:r>
              <w:t>warehouseId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Warehouse</w:t>
            </w:r>
          </w:p>
        </w:tc>
      </w:tr>
      <w:tr>
        <w:tc>
          <w:tcPr>
            <w:tcW w:type="dxa" w:w="1728"/>
          </w:tcPr>
          <w:p>
            <w:r>
              <w:t>subtotalUgx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shippingFeeUgx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discountUgx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vatUgx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Uganda VAT (18%), broken out separately — collected on URA's behalf, not ChrisPa revenue</w:t>
            </w:r>
          </w:p>
        </w:tc>
      </w:tr>
      <w:tr>
        <w:tc>
          <w:tcPr>
            <w:tcW w:type="dxa" w:w="1728"/>
          </w:tcPr>
          <w:p>
            <w:r>
              <w:t>totalUgx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deliveryMethod</w:t>
            </w:r>
          </w:p>
        </w:tc>
        <w:tc>
          <w:tcPr>
            <w:tcW w:type="dxa" w:w="1728"/>
          </w:tcPr>
          <w:p>
            <w:r>
              <w:t>DeliveryMethod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STANDARD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timeSlot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paymentMethod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Only </w:t>
            </w:r>
            <w:r>
              <w:rPr>
                <w:rFonts w:ascii="Consolas" w:hAnsi="Consolas"/>
                <w:sz w:val="20"/>
              </w:rPr>
              <w:t>CASH_ON_DELIVERY</w:t>
            </w:r>
            <w:r>
              <w:t xml:space="preserve"> completes; </w:t>
            </w:r>
            <w:r>
              <w:rPr>
                <w:rFonts w:ascii="Consolas" w:hAnsi="Consolas"/>
                <w:sz w:val="20"/>
              </w:rPr>
              <w:t>MOBILE_MONEY</w:t>
            </w:r>
            <w:r>
              <w:t>/</w:t>
            </w:r>
            <w:r>
              <w:rPr>
                <w:rFonts w:ascii="Consolas" w:hAnsi="Consolas"/>
                <w:sz w:val="20"/>
              </w:rPr>
              <w:t>CARD</w:t>
            </w:r>
            <w:r>
              <w:t xml:space="preserve"> return 501</w:t>
            </w:r>
          </w:p>
        </w:tc>
      </w:tr>
      <w:tr>
        <w:tc>
          <w:tcPr>
            <w:tcW w:type="dxa" w:w="1728"/>
          </w:tcPr>
          <w:p>
            <w:r>
              <w:t>shippingAddress</w:t>
            </w:r>
          </w:p>
        </w:tc>
        <w:tc>
          <w:tcPr>
            <w:tcW w:type="dxa" w:w="1728"/>
          </w:tcPr>
          <w:p>
            <w:r>
              <w:t>Json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deliveryConfirmedAt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Customer-only signal, separate from staff-set </w:t>
            </w:r>
            <w:r>
              <w:rPr>
                <w:rFonts w:ascii="Consolas" w:hAnsi="Consolas"/>
                <w:sz w:val="20"/>
              </w:rPr>
              <w:t>status: DELIVERED</w:t>
            </w:r>
            <w:r>
              <w:t xml:space="preserve"> — "mutual consent" the printable receipt requires</w:t>
            </w:r>
          </w:p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@@index([userId])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@@index([warehouseId])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@@index([status])</w:t>
            </w:r>
          </w:p>
        </w:tc>
      </w:tr>
    </w:tbl>
    <w:p>
      <w:pPr>
        <w:pStyle w:val="Heading3"/>
      </w:pPr>
      <w:r>
        <w:t>OrderItem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orderId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Order, Cascade</w:t>
            </w:r>
          </w:p>
        </w:tc>
      </w:tr>
      <w:tr>
        <w:tc>
          <w:tcPr>
            <w:tcW w:type="dxa" w:w="1728"/>
          </w:tcPr>
          <w:p>
            <w:r>
              <w:t>productId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Product</w:t>
            </w:r>
          </w:p>
        </w:tc>
      </w:tr>
      <w:tr>
        <w:tc>
          <w:tcPr>
            <w:tcW w:type="dxa" w:w="1728"/>
          </w:tcPr>
          <w:p>
            <w:r>
              <w:t>variantId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Variant</w:t>
            </w:r>
          </w:p>
        </w:tc>
      </w:tr>
      <w:tr>
        <w:tc>
          <w:tcPr>
            <w:tcW w:type="dxa" w:w="1728"/>
          </w:tcPr>
          <w:p>
            <w:r>
              <w:t>qty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unitPriceUgx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vendorId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Vendor; snapshotted at order time, not read live from Product</w:t>
            </w:r>
          </w:p>
        </w:tc>
      </w:tr>
      <w:tr>
        <w:tc>
          <w:tcPr>
            <w:tcW w:type="dxa" w:w="1728"/>
          </w:tcPr>
          <w:p>
            <w:r>
              <w:t>costUgxSnapshot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platformCommissionUgx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Null until </w:t>
            </w:r>
            <w:r>
              <w:rPr>
                <w:rFonts w:ascii="Consolas" w:hAnsi="Consolas"/>
                <w:sz w:val="20"/>
              </w:rPr>
              <w:t>RevenueRecognitionService</w:t>
            </w:r>
            <w:r>
              <w:t xml:space="preserve"> computes it at delivery</w:t>
            </w:r>
          </w:p>
        </w:tc>
      </w:tr>
      <w:tr>
        <w:tc>
          <w:tcPr>
            <w:tcW w:type="dxa" w:w="1728"/>
          </w:tcPr>
          <w:p>
            <w:r>
              <w:t>vendorPayoutUgx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vendorPayoutId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VendorPayout; null = not yet paid out (guards against double-paying)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@@index</w:t>
            </w:r>
            <w:r>
              <w:t xml:space="preserve"> on orderId, productId, vendorId, vendorPayoutId</w:t>
            </w:r>
          </w:p>
        </w:tc>
      </w:tr>
    </w:tbl>
    <w:p>
      <w:pPr>
        <w:pStyle w:val="Heading2"/>
      </w:pPr>
      <w:r>
        <w:t>Delivery (Driver App)</w:t>
      </w:r>
    </w:p>
    <w:p>
      <w:r>
        <w:t xml:space="preserve">Added commit </w:t>
      </w:r>
      <w:r>
        <w:rPr>
          <w:rFonts w:ascii="Consolas" w:hAnsi="Consolas"/>
          <w:sz w:val="20"/>
        </w:rPr>
        <w:t>75b7cff</w:t>
      </w:r>
      <w:r>
        <w:t xml:space="preserve">, per user request — not in the original SRS. See </w:t>
      </w:r>
      <w:hyperlink r:id="rId11">
        <w:r>
          <w:rPr>
            <w:color w:val="0563C1"/>
            <w:u w:val="single"/>
          </w:rPr>
          <w:t xml:space="preserve">`21-data-flow-diagram.md`</w:t>
        </w:r>
      </w:hyperlink>
      <w:r>
        <w:t xml:space="preserve">'s Driver App diagram and </w:t>
      </w:r>
      <w:hyperlink r:id="rId10">
        <w:r>
          <w:rPr>
            <w:color w:val="0563C1"/>
            <w:u w:val="single"/>
          </w:rPr>
          <w:t xml:space="preserve">`22-entity-relationship-diagram.md`</w:t>
        </w:r>
      </w:hyperlink>
      <w:r>
        <w:t xml:space="preserve"> for the relationship/reassignment semantics.</w:t>
      </w:r>
    </w:p>
    <w:p>
      <w:pPr>
        <w:pStyle w:val="Heading3"/>
      </w:pPr>
      <w:r>
        <w:t>Delivery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orderId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FK → Order, </w:t>
            </w:r>
            <w:r>
              <w:rPr>
                <w:rFonts w:ascii="Consolas" w:hAnsi="Consolas"/>
                <w:sz w:val="20"/>
              </w:rPr>
              <w:t>@unique</w:t>
            </w:r>
            <w:r>
              <w:t xml:space="preserve"> — 1:1, no split-shipment support</w:t>
            </w:r>
          </w:p>
        </w:tc>
      </w:tr>
      <w:tr>
        <w:tc>
          <w:tcPr>
            <w:tcW w:type="dxa" w:w="1728"/>
          </w:tcPr>
          <w:p>
            <w:r>
              <w:t>driverId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FK → User (relation </w:t>
            </w:r>
            <w:r>
              <w:rPr>
                <w:rFonts w:ascii="Consolas" w:hAnsi="Consolas"/>
                <w:sz w:val="20"/>
              </w:rPr>
              <w:t>DriverDeliveries</w:t>
            </w:r>
            <w:r>
              <w:t xml:space="preserve">); the assigned driver, must have </w:t>
            </w:r>
            <w:r>
              <w:rPr>
                <w:rFonts w:ascii="Consolas" w:hAnsi="Consolas"/>
                <w:sz w:val="20"/>
              </w:rPr>
              <w:t>role: DRIVER</w:t>
            </w:r>
          </w:p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DeliveryStatus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ASSIGNED</w:t>
            </w:r>
          </w:p>
        </w:tc>
        <w:tc>
          <w:tcPr>
            <w:tcW w:type="dxa" w:w="1728"/>
          </w:tcPr>
          <w:p>
            <w:r>
              <w:t xml:space="preserve">See the </w:t>
            </w:r>
            <w:r>
              <w:rPr>
                <w:rFonts w:ascii="Consolas" w:hAnsi="Consolas"/>
                <w:sz w:val="20"/>
              </w:rPr>
              <w:t>DeliveryStatus</w:t>
            </w:r>
            <w:r>
              <w:t xml:space="preserve"> enum below</w:t>
            </w:r>
          </w:p>
        </w:tc>
      </w:tr>
      <w:tr>
        <w:tc>
          <w:tcPr>
            <w:tcW w:type="dxa" w:w="1728"/>
          </w:tcPr>
          <w:p>
            <w:r>
              <w:t>priority</w:t>
            </w:r>
          </w:p>
        </w:tc>
        <w:tc>
          <w:tcPr>
            <w:tcW w:type="dxa" w:w="1728"/>
          </w:tcPr>
          <w:p>
            <w:r>
              <w:t>DeliveryPriority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NORMAL</w:t>
            </w:r>
          </w:p>
        </w:tc>
        <w:tc>
          <w:tcPr>
            <w:tcW w:type="dxa" w:w="1728"/>
          </w:tcPr>
          <w:p>
            <w:r>
              <w:t xml:space="preserve">Added commit </w:t>
            </w:r>
            <w:r>
              <w:rPr>
                <w:rFonts w:ascii="Consolas" w:hAnsi="Consolas"/>
                <w:sz w:val="20"/>
              </w:rPr>
              <w:t>445a258</w:t>
            </w:r>
            <w:r>
              <w:t xml:space="preserve"> — set at assignment; a driver's own list sorts URGENT-first, ordering hint only, no automated dispatch reads it</w:t>
            </w:r>
          </w:p>
        </w:tc>
      </w:tr>
      <w:tr>
        <w:tc>
          <w:tcPr>
            <w:tcW w:type="dxa" w:w="1728"/>
          </w:tcPr>
          <w:p>
            <w:r>
              <w:t>pickupLat / pickupLng</w:t>
            </w:r>
          </w:p>
        </w:tc>
        <w:tc>
          <w:tcPr>
            <w:tcW w:type="dxa" w:w="1728"/>
          </w:tcPr>
          <w:p>
            <w:r>
              <w:t>Float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Snapshotted from the driver's browser geolocation at the moment </w:t>
            </w:r>
            <w:r>
              <w:rPr>
                <w:rFonts w:ascii="Consolas" w:hAnsi="Consolas"/>
                <w:sz w:val="20"/>
              </w:rPr>
              <w:t>status</w:t>
            </w:r>
            <w:r>
              <w:t xml:space="preserve"> becomes </w:t>
            </w:r>
            <w:r>
              <w:rPr>
                <w:rFonts w:ascii="Consolas" w:hAnsi="Consolas"/>
                <w:sz w:val="20"/>
              </w:rPr>
              <w:t>PICKED_UP</w:t>
            </w:r>
          </w:p>
        </w:tc>
      </w:tr>
      <w:tr>
        <w:tc>
          <w:tcPr>
            <w:tcW w:type="dxa" w:w="1728"/>
          </w:tcPr>
          <w:p>
            <w:r>
              <w:t>pickedUpAt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Set alongside pickupLat/pickupLng</w:t>
            </w:r>
          </w:p>
        </w:tc>
      </w:tr>
      <w:tr>
        <w:tc>
          <w:tcPr>
            <w:tcW w:type="dxa" w:w="1728"/>
          </w:tcPr>
          <w:p>
            <w:r>
              <w:t>deliveryLat / deliveryLng</w:t>
            </w:r>
          </w:p>
        </w:tc>
        <w:tc>
          <w:tcPr>
            <w:tcW w:type="dxa" w:w="1728"/>
          </w:tcPr>
          <w:p>
            <w:r>
              <w:t>Float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Snapshotted at </w:t>
            </w:r>
            <w:r>
              <w:rPr>
                <w:rFonts w:ascii="Consolas" w:hAnsi="Consolas"/>
                <w:sz w:val="20"/>
              </w:rPr>
              <w:t>DELIVERED</w:t>
            </w:r>
            <w:r>
              <w:t>, same reasoning as pickup</w:t>
            </w:r>
          </w:p>
        </w:tc>
      </w:tr>
      <w:tr>
        <w:tc>
          <w:tcPr>
            <w:tcW w:type="dxa" w:w="1728"/>
          </w:tcPr>
          <w:p>
            <w:r>
              <w:t>deliveredAt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Set alongside deliveryLat/deliveryLng</w:t>
            </w:r>
          </w:p>
        </w:tc>
      </w:tr>
      <w:tr>
        <w:tc>
          <w:tcPr>
            <w:tcW w:type="dxa" w:w="1728"/>
          </w:tcPr>
          <w:p>
            <w:r>
              <w:t>currentLat / currentLng</w:t>
            </w:r>
          </w:p>
        </w:tc>
        <w:tc>
          <w:tcPr>
            <w:tcW w:type="dxa" w:w="1728"/>
          </w:tcPr>
          <w:p>
            <w:r>
              <w:t>Float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Last-known position while en route — a single overwritten snapshot, not a location-history table</w:t>
            </w:r>
          </w:p>
        </w:tc>
      </w:tr>
      <w:tr>
        <w:tc>
          <w:tcPr>
            <w:tcW w:type="dxa" w:w="1728"/>
          </w:tcPr>
          <w:p>
            <w:r>
              <w:t>lastLocationAt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Timestamp of the last position update</w:t>
            </w:r>
          </w:p>
        </w:tc>
      </w:tr>
      <w:tr>
        <w:tc>
          <w:tcPr>
            <w:tcW w:type="dxa" w:w="1728"/>
          </w:tcPr>
          <w:p>
            <w:r>
              <w:t>notes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assignedAt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@@index([driverId])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@@index([status])</w:t>
            </w:r>
          </w:p>
        </w:tc>
      </w:tr>
    </w:tbl>
    <w:p>
      <w:pPr>
        <w:pStyle w:val="Heading2"/>
      </w:pPr>
      <w:r>
        <w:t>Marketplace</w:t>
      </w:r>
    </w:p>
    <w:p>
      <w:pPr>
        <w:pStyle w:val="Heading3"/>
      </w:pPr>
      <w:r>
        <w:t>Vendor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name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contactEmail / contactPhone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payoutMobileMoneyNumber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commissionRatePercent</w:t>
            </w:r>
          </w:p>
        </w:tc>
        <w:tc>
          <w:tcPr>
            <w:tcW w:type="dxa" w:w="1728"/>
          </w:tcPr>
          <w:p>
            <w:r>
              <w:t>Decimal(5,2)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 xml:space="preserve">Platform's cut; read live at order-creation time, then snapshotted onto </w:t>
            </w:r>
            <w:r>
              <w:rPr>
                <w:rFonts w:ascii="Consolas" w:hAnsi="Consolas"/>
                <w:sz w:val="20"/>
              </w:rPr>
              <w:t>OrderItem</w:t>
            </w:r>
          </w:p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VendorStatus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VendorPayout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vendorId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Vendor</w:t>
            </w:r>
          </w:p>
        </w:tc>
      </w:tr>
      <w:tr>
        <w:tc>
          <w:tcPr>
            <w:tcW w:type="dxa" w:w="1728"/>
          </w:tcPr>
          <w:p>
            <w:r>
              <w:t>periodStart / periodEnd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grossSalesUgx / commissionUgx / payoutUgx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Computed from that vendor's DELIVERED OrderItems, not recomputed live</w:t>
            </w:r>
          </w:p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VendorPayoutStatus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PENDING</w:t>
            </w:r>
          </w:p>
        </w:tc>
        <w:tc>
          <w:tcPr>
            <w:tcW w:type="dxa" w:w="1728"/>
          </w:tcPr>
          <w:p>
            <w:r>
              <w:t>Marking PAID is manual — no real disbursement integration</w:t>
            </w:r>
          </w:p>
        </w:tc>
      </w:tr>
      <w:tr>
        <w:tc>
          <w:tcPr>
            <w:tcW w:type="dxa" w:w="1728"/>
          </w:tcPr>
          <w:p>
            <w:r>
              <w:t>paidAt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</w:tbl>
    <w:p>
      <w:pPr>
        <w:pStyle w:val="Heading2"/>
      </w:pPr>
      <w:r>
        <w:t>Payments</w:t>
      </w:r>
    </w:p>
    <w:p>
      <w:pPr>
        <w:pStyle w:val="Heading3"/>
      </w:pPr>
      <w:r>
        <w:t>PaymentTransaction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orderId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Order; nullable since a charge can be initiated before the order is confirmed</w:t>
            </w:r>
          </w:p>
        </w:tc>
      </w:tr>
      <w:tr>
        <w:tc>
          <w:tcPr>
            <w:tcW w:type="dxa" w:w="1728"/>
          </w:tcPr>
          <w:p>
            <w:r>
              <w:t>provider</w:t>
            </w:r>
          </w:p>
        </w:tc>
        <w:tc>
          <w:tcPr>
            <w:tcW w:type="dxa" w:w="1728"/>
          </w:tcPr>
          <w:p>
            <w:r>
              <w:t>PaymentProvider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Only </w:t>
            </w:r>
            <w:r>
              <w:rPr>
                <w:rFonts w:ascii="Consolas" w:hAnsi="Consolas"/>
                <w:sz w:val="20"/>
              </w:rPr>
              <w:t>FLUTTERWAVE</w:t>
            </w:r>
          </w:p>
        </w:tc>
      </w:tr>
      <w:tr>
        <w:tc>
          <w:tcPr>
            <w:tcW w:type="dxa" w:w="1728"/>
          </w:tcPr>
          <w:p>
            <w:r>
              <w:t>providerReference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  <w:r>
              <w:t xml:space="preserve">; our own idempotency key, sent as </w:t>
            </w:r>
            <w:r>
              <w:rPr>
                <w:rFonts w:ascii="Consolas" w:hAnsi="Consolas"/>
                <w:sz w:val="20"/>
              </w:rPr>
              <w:t>tx_ref</w:t>
            </w:r>
            <w:r>
              <w:t xml:space="preserve"> — how the webhook maps back</w:t>
            </w:r>
          </w:p>
        </w:tc>
      </w:tr>
      <w:tr>
        <w:tc>
          <w:tcPr>
            <w:tcW w:type="dxa" w:w="1728"/>
          </w:tcPr>
          <w:p>
            <w:r>
              <w:t>providerTransactionId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amountUgx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currency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"UGX"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PaymentTransactionStatus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PENDING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failureReason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feeUgx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Gateway fee, or a chargeback fee once disputed</w:t>
            </w:r>
          </w:p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2"/>
      </w:pPr>
      <w:r>
        <w:t>Marketing</w:t>
      </w:r>
    </w:p>
    <w:p>
      <w:pPr>
        <w:pStyle w:val="Heading3"/>
      </w:pPr>
      <w:r>
        <w:t>Coupon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</w:p>
        </w:tc>
      </w:tr>
      <w:tr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CouponType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value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usageCount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isActive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expiresAt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Bundle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name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productIds</w:t>
            </w:r>
          </w:p>
        </w:tc>
        <w:tc>
          <w:tcPr>
            <w:tcW w:type="dxa" w:w="1728"/>
          </w:tcPr>
          <w:p>
            <w:r>
              <w:t>String[]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Scalar array, not a join table — no referential integrity, deliberate for this small feature</w:t>
            </w:r>
          </w:p>
        </w:tc>
      </w:tr>
      <w:tr>
        <w:tc>
          <w:tcPr>
            <w:tcW w:type="dxa" w:w="1728"/>
          </w:tcPr>
          <w:p>
            <w:r>
              <w:t>bundlePriceUgx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isActive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NewsletterSubscriber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email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</w:p>
        </w:tc>
      </w:tr>
      <w:tr>
        <w:tc>
          <w:tcPr>
            <w:tcW w:type="dxa" w:w="1728"/>
          </w:tcPr>
          <w:p>
            <w:r>
              <w:t>isActive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subscribedAt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unsubscribedAt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Kept, not hard-deleted on unsubscribe — preserves history and lets a re-subscribe flip it back on</w:t>
            </w:r>
          </w:p>
        </w:tc>
      </w:tr>
    </w:tbl>
    <w:p>
      <w:pPr>
        <w:pStyle w:val="Heading3"/>
      </w:pPr>
      <w:r>
        <w:t>NewsletterCampaign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subject / body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recipientCount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Snapshot of active subscriber count at send time</w:t>
            </w:r>
          </w:p>
        </w:tc>
      </w:tr>
      <w:tr>
        <w:tc>
          <w:tcPr>
            <w:tcW w:type="dxa" w:w="1728"/>
          </w:tcPr>
          <w:p>
            <w:r>
              <w:t>notifiedUserCount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 xml:space="preserve">How many also got an in-app </w:t>
            </w:r>
            <w:r>
              <w:rPr>
                <w:rFonts w:ascii="Consolas" w:hAnsi="Consolas"/>
                <w:sz w:val="20"/>
              </w:rPr>
              <w:t>Notification</w:t>
            </w:r>
          </w:p>
        </w:tc>
      </w:tr>
      <w:tr>
        <w:tc>
          <w:tcPr>
            <w:tcW w:type="dxa" w:w="1728"/>
          </w:tcPr>
          <w:p>
            <w:r>
              <w:t>sentAt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>
            <w:r>
              <w:t>Sent immediately on creation — not a draft/scheduling system</w:t>
            </w:r>
          </w:p>
        </w:tc>
      </w:tr>
    </w:tbl>
    <w:p>
      <w:pPr>
        <w:pStyle w:val="Heading2"/>
      </w:pPr>
      <w:r>
        <w:t>Loyalty</w:t>
      </w:r>
    </w:p>
    <w:p>
      <w:pPr>
        <w:pStyle w:val="Heading3"/>
      </w:pPr>
      <w:r>
        <w:t>LoyaltyAccount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  <w:r>
              <w:t>, FK → User, Cascade</w:t>
            </w:r>
          </w:p>
        </w:tc>
      </w:tr>
      <w:tr>
        <w:tc>
          <w:tcPr>
            <w:tcW w:type="dxa" w:w="1728"/>
          </w:tcPr>
          <w:p>
            <w:r>
              <w:t>pointsBalance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tier</w:t>
            </w:r>
          </w:p>
        </w:tc>
        <w:tc>
          <w:tcPr>
            <w:tcW w:type="dxa" w:w="1728"/>
          </w:tcPr>
          <w:p>
            <w:r>
              <w:t>CustomerTier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STANDARD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LoyaltyLedgerEntry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loyaltyAccountId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LoyaltyAccount, Cascade</w:t>
            </w:r>
          </w:p>
        </w:tc>
      </w:tr>
      <w:tr>
        <w:tc>
          <w:tcPr>
            <w:tcW w:type="dxa" w:w="1728"/>
          </w:tcPr>
          <w:p>
            <w:r>
              <w:t>delta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Signed — award or reversal</w:t>
            </w:r>
          </w:p>
        </w:tc>
      </w:tr>
      <w:tr>
        <w:tc>
          <w:tcPr>
            <w:tcW w:type="dxa" w:w="1728"/>
          </w:tcPr>
          <w:p>
            <w:r>
              <w:t>reason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orderId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Order</w:t>
            </w:r>
          </w:p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</w:tbl>
    <w:p>
      <w:pPr>
        <w:pStyle w:val="Heading2"/>
      </w:pPr>
      <w:r>
        <w:t>Notifications</w:t>
      </w:r>
    </w:p>
    <w:p>
      <w:r>
        <w:t xml:space="preserve">See </w:t>
      </w:r>
      <w:r>
        <w:rPr>
          <w:rFonts w:ascii="Consolas" w:hAnsi="Consolas"/>
          <w:sz w:val="20"/>
        </w:rPr>
        <w:t>Notification</w:t>
      </w:r>
      <w:r>
        <w:t xml:space="preserve"> under </w:t>
      </w:r>
      <w:r>
        <w:rPr>
          <w:b/>
        </w:rPr>
        <w:t>Identity &amp; auth</w:t>
      </w:r>
      <w:r>
        <w:t xml:space="preserve"> above (kept there since it's a direct </w:t>
      </w:r>
      <w:r>
        <w:rPr>
          <w:rFonts w:ascii="Consolas" w:hAnsi="Consolas"/>
          <w:sz w:val="20"/>
        </w:rPr>
        <w:t>User</w:t>
      </w:r>
      <w:r>
        <w:t xml:space="preserve"> relation) — treated as its own domain in </w:t>
      </w:r>
      <w:r>
        <w:rPr>
          <w:rFonts w:ascii="Consolas" w:hAnsi="Consolas"/>
          <w:sz w:val="20"/>
        </w:rPr>
        <w:t>03-database-design.md</w:t>
      </w:r>
      <w:r>
        <w:t>'s inventory table.</w:t>
      </w:r>
    </w:p>
    <w:p>
      <w:pPr>
        <w:pStyle w:val="Heading2"/>
      </w:pPr>
      <w:r>
        <w:t>CRM / support</w:t>
      </w:r>
    </w:p>
    <w:p>
      <w:pPr>
        <w:pStyle w:val="Heading3"/>
      </w:pPr>
      <w:r>
        <w:t>Review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productId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Product, Cascade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User, Cascade</w:t>
            </w:r>
          </w:p>
        </w:tc>
      </w:tr>
      <w:tr>
        <w:tc>
          <w:tcPr>
            <w:tcW w:type="dxa" w:w="1728"/>
          </w:tcPr>
          <w:p>
            <w:r>
              <w:t>rating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body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photos</w:t>
            </w:r>
          </w:p>
        </w:tc>
        <w:tc>
          <w:tcPr>
            <w:tcW w:type="dxa" w:w="1728"/>
          </w:tcPr>
          <w:p>
            <w:r>
              <w:t>String[]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[]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SupportTicket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User, Cascade</w:t>
            </w:r>
          </w:p>
        </w:tc>
      </w:tr>
      <w:tr>
        <w:tc>
          <w:tcPr>
            <w:tcW w:type="dxa" w:w="1728"/>
          </w:tcPr>
          <w:p>
            <w:r>
              <w:t>orderId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Order</w:t>
            </w:r>
          </w:p>
        </w:tc>
      </w:tr>
      <w:tr>
        <w:tc>
          <w:tcPr>
            <w:tcW w:type="dxa" w:w="1728"/>
          </w:tcPr>
          <w:p>
            <w:r>
              <w:t>body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TicketStatus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OPEN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TicketMessage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ticketId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SupportTicket, Cascade</w:t>
            </w:r>
          </w:p>
        </w:tc>
      </w:tr>
      <w:tr>
        <w:tc>
          <w:tcPr>
            <w:tcW w:type="dxa" w:w="1728"/>
          </w:tcPr>
          <w:p>
            <w:r>
              <w:t>authorUserId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User, Cascade — either party</w:t>
            </w:r>
          </w:p>
        </w:tc>
      </w:tr>
      <w:tr>
        <w:tc>
          <w:tcPr>
            <w:tcW w:type="dxa" w:w="1728"/>
          </w:tcPr>
          <w:p>
            <w:r>
              <w:t>authorRole</w:t>
            </w:r>
          </w:p>
        </w:tc>
        <w:tc>
          <w:tcPr>
            <w:tcW w:type="dxa" w:w="1728"/>
          </w:tcPr>
          <w:p>
            <w:r>
              <w:t>UserRole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Snapshotted at write time — a later role change shouldn't repaint an old message's bubble</w:t>
            </w:r>
          </w:p>
        </w:tc>
      </w:tr>
      <w:tr>
        <w:tc>
          <w:tcPr>
            <w:tcW w:type="dxa" w:w="1728"/>
          </w:tcPr>
          <w:p>
            <w:r>
              <w:t>body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WishlistItem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User, Cascade</w:t>
            </w:r>
          </w:p>
        </w:tc>
      </w:tr>
      <w:tr>
        <w:tc>
          <w:tcPr>
            <w:tcW w:type="dxa" w:w="1728"/>
          </w:tcPr>
          <w:p>
            <w:r>
              <w:t>productId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Product, Cascade</w:t>
            </w:r>
          </w:p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@@unique([userId, productId])</w:t>
            </w:r>
          </w:p>
        </w:tc>
      </w:tr>
    </w:tbl>
    <w:p>
      <w:pPr>
        <w:pStyle w:val="Heading2"/>
      </w:pPr>
      <w:r>
        <w:t>CMS</w:t>
      </w:r>
    </w:p>
    <w:p>
      <w:pPr>
        <w:pStyle w:val="Heading3"/>
      </w:pPr>
      <w:r>
        <w:t>CmsPage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slug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</w:p>
        </w:tc>
      </w:tr>
      <w:tr>
        <w:tc>
          <w:tcPr>
            <w:tcW w:type="dxa" w:w="1728"/>
          </w:tcPr>
          <w:p>
            <w:r>
              <w:t>title / body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CmsStatus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DRAFT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Banner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imageUrl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linkUrl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sortOrder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isActive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BlogPost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slug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</w:p>
        </w:tc>
      </w:tr>
      <w:tr>
        <w:tc>
          <w:tcPr>
            <w:tcW w:type="dxa" w:w="1728"/>
          </w:tcPr>
          <w:p>
            <w:r>
              <w:t>title / body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CmsStatus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DRAFT</w:t>
            </w:r>
          </w:p>
        </w:tc>
        <w:tc>
          <w:tcPr>
            <w:tcW w:type="dxa" w:w="1728"/>
          </w:tcPr>
          <w:p>
            <w:r>
              <w:t>Read-only from the admin side today — no write endpoint yet</w:t>
            </w:r>
          </w:p>
        </w:tc>
      </w:tr>
      <w:tr>
        <w:tc>
          <w:tcPr>
            <w:tcW w:type="dxa" w:w="1728"/>
          </w:tcPr>
          <w:p>
            <w:r>
              <w:t>publishedAt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SocialMediaAccount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platform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Free text, not an enum — no icon library, rendered as a text label regardless</w:t>
            </w:r>
          </w:p>
        </w:tc>
      </w:tr>
      <w:tr>
        <w:tc>
          <w:tcPr>
            <w:tcW w:type="dxa" w:w="1728"/>
          </w:tcPr>
          <w:p>
            <w:r>
              <w:t>url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isActive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sortOrder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2"/>
      </w:pPr>
      <w:r>
        <w:t>HR — org (Departments, Employee Profiles, Documents)</w:t>
      </w:r>
    </w:p>
    <w:p>
      <w:pPr>
        <w:pStyle w:val="Heading3"/>
      </w:pPr>
      <w:r>
        <w:t>Department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name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</w:p>
        </w:tc>
      </w:tr>
      <w:tr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DepartmentPermission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departmentId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Department, Cascade</w:t>
            </w:r>
          </w:p>
        </w:tc>
      </w:tr>
      <w:tr>
        <w:tc>
          <w:tcPr>
            <w:tcW w:type="dxa" w:w="1728"/>
          </w:tcPr>
          <w:p>
            <w:r>
              <w:t>resource</w:t>
            </w:r>
          </w:p>
        </w:tc>
        <w:tc>
          <w:tcPr>
            <w:tcW w:type="dxa" w:w="1728"/>
          </w:tcPr>
          <w:p>
            <w:r>
              <w:t>PermissionResource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One row per admin nav area</w:t>
            </w:r>
          </w:p>
        </w:tc>
      </w:tr>
      <w:tr>
        <w:tc>
          <w:tcPr>
            <w:tcW w:type="dxa" w:w="1728"/>
          </w:tcPr>
          <w:p>
            <w:r>
              <w:t>canView / canCreate / canUpdate / canDelete / canExecute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false</w:t>
            </w:r>
          </w:p>
        </w:tc>
        <w:tc>
          <w:tcPr>
            <w:tcW w:type="dxa" w:w="1728"/>
          </w:tcPr>
          <w:p>
            <w:r>
              <w:t xml:space="preserve">A </w:t>
            </w:r>
            <w:r>
              <w:rPr>
                <w:b/>
              </w:rPr>
              <w:t>stored policy record</w:t>
            </w:r>
            <w:r>
              <w:t xml:space="preserve">, not the enforcement mechanism — </w:t>
            </w:r>
            <w:r>
              <w:rPr>
                <w:rFonts w:ascii="Consolas" w:hAnsi="Consolas"/>
                <w:sz w:val="20"/>
              </w:rPr>
              <w:t>RolesGuard</w:t>
            </w:r>
            <w:r>
              <w:t>/</w:t>
            </w:r>
            <w:r>
              <w:rPr>
                <w:rFonts w:ascii="Consolas" w:hAnsi="Consolas"/>
                <w:sz w:val="20"/>
              </w:rPr>
              <w:t>@Roles()</w:t>
            </w:r>
            <w:r>
              <w:t xml:space="preserve"> is the real security boundary, by explicit user decision</w:t>
            </w:r>
          </w:p>
        </w:tc>
      </w:tr>
      <w:tr>
        <w:tc>
          <w:tcPr>
            <w:tcW w:type="dxa" w:w="1728"/>
          </w:tcPr>
          <w:p>
            <w:r>
              <w:t>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auto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@@unique([departmentId, resource])</w:t>
            </w:r>
            <w:r>
              <w:t xml:space="preserve"> — every department always has a complete 15-row matrix</w:t>
            </w:r>
          </w:p>
        </w:tc>
      </w:tr>
    </w:tbl>
    <w:p>
      <w:pPr>
        <w:pStyle w:val="Heading3"/>
      </w:pPr>
      <w:r>
        <w:t>Employee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  <w:r>
              <w:t xml:space="preserve">, FK → User; optional both ways — see </w:t>
            </w:r>
            <w:r>
              <w:rPr>
                <w:rFonts w:ascii="Consolas" w:hAnsi="Consolas"/>
                <w:sz w:val="20"/>
              </w:rPr>
              <w:t>22-entity-relationship-diagram.md</w:t>
            </w:r>
          </w:p>
        </w:tc>
      </w:tr>
      <w:tr>
        <w:tc>
          <w:tcPr>
            <w:tcW w:type="dxa" w:w="1728"/>
          </w:tcPr>
          <w:p>
            <w:r>
              <w:t>employeeNumber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  <w:r>
              <w:t>, auto-generated</w:t>
            </w:r>
          </w:p>
        </w:tc>
      </w:tr>
      <w:tr>
        <w:tc>
          <w:tcPr>
            <w:tcW w:type="dxa" w:w="1728"/>
          </w:tcPr>
          <w:p>
            <w:r>
              <w:t>firstName / lastName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personalEmail / personalPhone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dateOfBirth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gender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nationalIdNumber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Uganda National ID — access restricted to OWNER/HR_MANAGER at the API layer</w:t>
            </w:r>
          </w:p>
        </w:tc>
      </w:tr>
      <w:tr>
        <w:tc>
          <w:tcPr>
            <w:tcW w:type="dxa" w:w="1728"/>
          </w:tcPr>
          <w:p>
            <w:r>
              <w:t>address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photoUrl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departmentId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Department</w:t>
            </w:r>
          </w:p>
        </w:tc>
      </w:tr>
      <w:tr>
        <w:tc>
          <w:tcPr>
            <w:tcW w:type="dxa" w:w="1728"/>
          </w:tcPr>
          <w:p>
            <w:r>
              <w:t>jobTitle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employmentType</w:t>
            </w:r>
          </w:p>
        </w:tc>
        <w:tc>
          <w:tcPr>
            <w:tcW w:type="dxa" w:w="1728"/>
          </w:tcPr>
          <w:p>
            <w:r>
              <w:t>EmploymentType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FULL_TIME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employmentStatus</w:t>
            </w:r>
          </w:p>
        </w:tc>
        <w:tc>
          <w:tcPr>
            <w:tcW w:type="dxa" w:w="1728"/>
          </w:tcPr>
          <w:p>
            <w:r>
              <w:t>EmploymentStatus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  <w:tc>
          <w:tcPr>
            <w:tcW w:type="dxa" w:w="1728"/>
          </w:tcPr>
          <w:p>
            <w:r>
              <w:t>Never hard-deleted — TERMINATED is the "delete"</w:t>
            </w:r>
          </w:p>
        </w:tc>
      </w:tr>
      <w:tr>
        <w:tc>
          <w:tcPr>
            <w:tcW w:type="dxa" w:w="1728"/>
          </w:tcPr>
          <w:p>
            <w:r>
              <w:t>hireDate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terminationDate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managerId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 (self)</w:t>
            </w:r>
          </w:p>
        </w:tc>
      </w:tr>
      <w:tr>
        <w:tc>
          <w:tcPr>
            <w:tcW w:type="dxa" w:w="1728"/>
          </w:tcPr>
          <w:p>
            <w:r>
              <w:t>baseSalaryUgx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Payroll input</w:t>
            </w:r>
          </w:p>
        </w:tc>
      </w:tr>
      <w:tr>
        <w:tc>
          <w:tcPr>
            <w:tcW w:type="dxa" w:w="1728"/>
          </w:tcPr>
          <w:p>
            <w:r>
              <w:t>nssfNumber / tinNumber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annualLeaveDaysPerYear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Uganda Employment Act 2006 statutory minimum</w:t>
            </w:r>
          </w:p>
        </w:tc>
      </w:tr>
      <w:tr>
        <w:tc>
          <w:tcPr>
            <w:tcW w:type="dxa" w:w="1728"/>
          </w:tcPr>
          <w:p>
            <w:r>
              <w:t>standardHoursPerDay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Overtime calculation input</w:t>
            </w:r>
          </w:p>
        </w:tc>
      </w:tr>
      <w:tr>
        <w:tc>
          <w:tcPr>
            <w:tcW w:type="dxa" w:w="1728"/>
          </w:tcPr>
          <w:p>
            <w:r>
              <w:t>overtimeRateMultiplier</w:t>
            </w:r>
          </w:p>
        </w:tc>
        <w:tc>
          <w:tcPr>
            <w:tcW w:type="dxa" w:w="1728"/>
          </w:tcPr>
          <w:p>
            <w:r>
              <w:t>Float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1.5</w:t>
            </w:r>
          </w:p>
        </w:tc>
        <w:tc>
          <w:tcPr>
            <w:tcW w:type="dxa" w:w="1728"/>
          </w:tcPr>
          <w:p>
            <w:r>
              <w:t>Plain multiplier, not a percentage</w:t>
            </w:r>
          </w:p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@@index</w:t>
            </w:r>
            <w:r>
              <w:t xml:space="preserve"> on departmentId, managerId, employmentStatus</w:t>
            </w:r>
          </w:p>
        </w:tc>
      </w:tr>
    </w:tbl>
    <w:p>
      <w:pPr>
        <w:pStyle w:val="Heading3"/>
      </w:pPr>
      <w:r>
        <w:t>EmploymentHistoryEntry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Employee, Cascade</w:t>
            </w:r>
          </w:p>
        </w:tc>
      </w:tr>
      <w:tr>
        <w:tc>
          <w:tcPr>
            <w:tcW w:type="dxa" w:w="1728"/>
          </w:tcPr>
          <w:p>
            <w:r>
              <w:t>changeType</w:t>
            </w:r>
          </w:p>
        </w:tc>
        <w:tc>
          <w:tcPr>
            <w:tcW w:type="dxa" w:w="1728"/>
          </w:tcPr>
          <w:p>
            <w:r>
              <w:t>EmploymentChangeType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Auto-logged by </w:t>
            </w:r>
            <w:r>
              <w:rPr>
                <w:rFonts w:ascii="Consolas" w:hAnsi="Consolas"/>
                <w:sz w:val="20"/>
              </w:rPr>
              <w:t>EmployeesService.update()</w:t>
            </w:r>
            <w:r>
              <w:t>'s diff</w:t>
            </w:r>
          </w:p>
        </w:tc>
      </w:tr>
      <w:tr>
        <w:tc>
          <w:tcPr>
            <w:tcW w:type="dxa" w:w="1728"/>
          </w:tcPr>
          <w:p>
            <w:r>
              <w:t>previousValue / newValue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effectiveDate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notes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EmployeeDocument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Employee, Cascade</w:t>
            </w:r>
          </w:p>
        </w:tc>
      </w:tr>
      <w:tr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EmployeeDocumentType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title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fileUrl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expiresAt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Drives the "documents expiring in 30 days" dashboard metric</w:t>
            </w:r>
          </w:p>
        </w:tc>
      </w:tr>
      <w:tr>
        <w:tc>
          <w:tcPr>
            <w:tcW w:type="dxa" w:w="1728"/>
          </w:tcPr>
          <w:p>
            <w:r>
              <w:t>uploadedAt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</w:tbl>
    <w:p>
      <w:pPr>
        <w:pStyle w:val="Heading2"/>
      </w:pPr>
      <w:r>
        <w:t>HR — attendance / leave / shifts</w:t>
      </w:r>
    </w:p>
    <w:p>
      <w:pPr>
        <w:pStyle w:val="Heading3"/>
      </w:pPr>
      <w:r>
        <w:t>TimeEntry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Employee, Cascade</w:t>
            </w:r>
          </w:p>
        </w:tc>
      </w:tr>
      <w:tr>
        <w:tc>
          <w:tcPr>
            <w:tcW w:type="dxa" w:w="1728"/>
          </w:tcPr>
          <w:p>
            <w:r>
              <w:t>clockIn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clockOut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source</w:t>
            </w:r>
          </w:p>
        </w:tc>
        <w:tc>
          <w:tcPr>
            <w:tcW w:type="dxa" w:w="1728"/>
          </w:tcPr>
          <w:p>
            <w:r>
              <w:t>AttendanceSource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WEB</w:t>
            </w:r>
          </w:p>
        </w:tc>
        <w:tc>
          <w:tcPr>
            <w:tcW w:type="dxa" w:w="1728"/>
          </w:tcPr>
          <w:p>
            <w:r>
              <w:t>Only value — no biometric/device integration</w:t>
            </w:r>
          </w:p>
        </w:tc>
      </w:tr>
      <w:tr>
        <w:tc>
          <w:tcPr>
            <w:tcW w:type="dxa" w:w="1728"/>
          </w:tcPr>
          <w:p>
            <w:r>
              <w:t>notes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LeaveRequest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Employee, Cascade</w:t>
            </w:r>
          </w:p>
        </w:tc>
      </w:tr>
      <w:tr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LeaveType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startDate / endDate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reason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LeaveRequestStatus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PENDING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reviewedByUserId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</w:t>
            </w:r>
          </w:p>
        </w:tc>
      </w:tr>
      <w:tr>
        <w:tc>
          <w:tcPr>
            <w:tcW w:type="dxa" w:w="1728"/>
          </w:tcPr>
          <w:p>
            <w:r>
              <w:t>reviewNotes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Shift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Employee, Cascade</w:t>
            </w:r>
          </w:p>
        </w:tc>
      </w:tr>
      <w:tr>
        <w:tc>
          <w:tcPr>
            <w:tcW w:type="dxa" w:w="1728"/>
          </w:tcPr>
          <w:p>
            <w:r>
              <w:t>startAt / endAt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role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ShiftStatus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SCHEDULED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notes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ShiftSwapRequest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shiftId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Shift, Cascade</w:t>
            </w:r>
          </w:p>
        </w:tc>
      </w:tr>
      <w:tr>
        <w:tc>
          <w:tcPr>
            <w:tcW w:type="dxa" w:w="1728"/>
          </w:tcPr>
          <w:p>
            <w:r>
              <w:t>requestedByEmployeeId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</w:t>
            </w:r>
          </w:p>
        </w:tc>
      </w:tr>
      <w:tr>
        <w:tc>
          <w:tcPr>
            <w:tcW w:type="dxa" w:w="1728"/>
          </w:tcPr>
          <w:p>
            <w:r>
              <w:t>coverEmployeeId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FK → Employee; approval reassigns </w:t>
            </w:r>
            <w:r>
              <w:rPr>
                <w:rFonts w:ascii="Consolas" w:hAnsi="Consolas"/>
                <w:sz w:val="20"/>
              </w:rPr>
              <w:t>Shift.employeeId</w:t>
            </w:r>
            <w:r>
              <w:t xml:space="preserve"> to this employee</w:t>
            </w:r>
          </w:p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ShiftSwapStatus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PENDING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reviewedByUserId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</w:t>
            </w:r>
          </w:p>
        </w:tc>
      </w:tr>
      <w:tr>
        <w:tc>
          <w:tcPr>
            <w:tcW w:type="dxa" w:w="1728"/>
          </w:tcPr>
          <w:p>
            <w:r>
              <w:t>reason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</w:tbl>
    <w:p>
      <w:pPr>
        <w:pStyle w:val="Heading2"/>
      </w:pPr>
      <w:r>
        <w:t>HR — performance &amp; recruitment</w:t>
      </w:r>
    </w:p>
    <w:p>
      <w:pPr>
        <w:pStyle w:val="Heading3"/>
      </w:pPr>
      <w:r>
        <w:t>PerformanceGoal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Employee, Cascade</w:t>
            </w:r>
          </w:p>
        </w:tc>
      </w:tr>
      <w:tr>
        <w:tc>
          <w:tcPr>
            <w:tcW w:type="dxa" w:w="1728"/>
          </w:tcPr>
          <w:p>
            <w:r>
              <w:t>title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targetDate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GoalStatus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NOT_STARTED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progressPercent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createdByUserId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 — OWNER/HR_MANAGER or the employee's line manager</w:t>
            </w:r>
          </w:p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PerformanceFeedback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Employee, Cascade</w:t>
            </w:r>
          </w:p>
        </w:tc>
      </w:tr>
      <w:tr>
        <w:tc>
          <w:tcPr>
            <w:tcW w:type="dxa" w:w="1728"/>
          </w:tcPr>
          <w:p>
            <w:r>
              <w:t>givenByUserId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</w:t>
            </w:r>
          </w:p>
        </w:tc>
      </w:tr>
      <w:tr>
        <w:tc>
          <w:tcPr>
            <w:tcW w:type="dxa" w:w="1728"/>
          </w:tcPr>
          <w:p>
            <w:r>
              <w:t>note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Lightweight, immutable — distinct from the formal </w:t>
            </w:r>
            <w:r>
              <w:rPr>
                <w:rFonts w:ascii="Consolas" w:hAnsi="Consolas"/>
                <w:sz w:val="20"/>
              </w:rPr>
              <w:t>PerformanceReview</w:t>
            </w:r>
          </w:p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PerformanceReview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Employee, Cascade</w:t>
            </w:r>
          </w:p>
        </w:tc>
      </w:tr>
      <w:tr>
        <w:tc>
          <w:tcPr>
            <w:tcW w:type="dxa" w:w="1728"/>
          </w:tcPr>
          <w:p>
            <w:r>
              <w:t>reviewerUserId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</w:t>
            </w:r>
          </w:p>
        </w:tc>
      </w:tr>
      <w:tr>
        <w:tc>
          <w:tcPr>
            <w:tcW w:type="dxa" w:w="1728"/>
          </w:tcPr>
          <w:p>
            <w:r>
              <w:t>periodStart / periodEnd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rating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1–5</w:t>
            </w:r>
          </w:p>
        </w:tc>
      </w:tr>
      <w:tr>
        <w:tc>
          <w:tcPr>
            <w:tcW w:type="dxa" w:w="1728"/>
          </w:tcPr>
          <w:p>
            <w:r>
              <w:t>strengths / areasForImprovement / overallComments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ReviewStatus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DRAFT</w:t>
            </w:r>
          </w:p>
        </w:tc>
        <w:tc>
          <w:tcPr>
            <w:tcW w:type="dxa" w:w="1728"/>
          </w:tcPr>
          <w:p>
            <w:r>
              <w:t xml:space="preserve">SUBMITTED locks content — only the employee's own </w:t>
            </w:r>
            <w:r>
              <w:rPr>
                <w:rFonts w:ascii="Consolas" w:hAnsi="Consolas"/>
                <w:sz w:val="20"/>
              </w:rPr>
              <w:t>acknowledge()</w:t>
            </w:r>
            <w:r>
              <w:t xml:space="preserve"> can move it to ACKNOWLEDGED</w:t>
            </w:r>
          </w:p>
        </w:tc>
      </w:tr>
      <w:tr>
        <w:tc>
          <w:tcPr>
            <w:tcW w:type="dxa" w:w="1728"/>
          </w:tcPr>
          <w:p>
            <w:r>
              <w:t>acknowledgedAt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JobPosting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title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departmentId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Department</w:t>
            </w:r>
          </w:p>
        </w:tc>
      </w:tr>
      <w:tr>
        <w:tc>
          <w:tcPr>
            <w:tcW w:type="dxa" w:w="1728"/>
          </w:tcPr>
          <w:p>
            <w:r>
              <w:t>description / requirements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employmentType</w:t>
            </w:r>
          </w:p>
        </w:tc>
        <w:tc>
          <w:tcPr>
            <w:tcW w:type="dxa" w:w="1728"/>
          </w:tcPr>
          <w:p>
            <w:r>
              <w:t>EmploymentType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FULL_TIME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JobPostingStatus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DRAFT</w:t>
            </w:r>
          </w:p>
        </w:tc>
        <w:tc>
          <w:tcPr>
            <w:tcW w:type="dxa" w:w="1728"/>
          </w:tcPr>
          <w:p>
            <w:r>
              <w:t>Auto-transitions to FILLED on applicant conversion</w:t>
            </w:r>
          </w:p>
        </w:tc>
      </w:tr>
      <w:tr>
        <w:tc>
          <w:tcPr>
            <w:tcW w:type="dxa" w:w="1728"/>
          </w:tcPr>
          <w:p>
            <w:r>
              <w:t>createdByUserId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</w:t>
            </w:r>
          </w:p>
        </w:tc>
      </w:tr>
      <w:tr>
        <w:tc>
          <w:tcPr>
            <w:tcW w:type="dxa" w:w="1728"/>
          </w:tcPr>
          <w:p>
            <w:r>
              <w:t>postedAt / closedAt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Applicant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jobPostingId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JobPosting, Cascade</w:t>
            </w:r>
          </w:p>
        </w:tc>
      </w:tr>
      <w:tr>
        <w:tc>
          <w:tcPr>
            <w:tcW w:type="dxa" w:w="1728"/>
          </w:tcPr>
          <w:p>
            <w:r>
              <w:t>firstName / lastName / email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phone / resumeUrl / coverNote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stage</w:t>
            </w:r>
          </w:p>
        </w:tc>
        <w:tc>
          <w:tcPr>
            <w:tcW w:type="dxa" w:w="1728"/>
          </w:tcPr>
          <w:p>
            <w:r>
              <w:t>ApplicantStage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APPLIED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notes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Internal HR notes, not shown to the applicant</w:t>
            </w:r>
          </w:p>
        </w:tc>
      </w:tr>
      <w:tr>
        <w:tc>
          <w:tcPr>
            <w:tcW w:type="dxa" w:w="1728"/>
          </w:tcPr>
          <w:p>
            <w:r>
              <w:t>convertedEmployeeId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  <w:r>
              <w:t>, FK → Employee; guards against double-conversion</w:t>
            </w:r>
          </w:p>
        </w:tc>
      </w:tr>
      <w:tr>
        <w:tc>
          <w:tcPr>
            <w:tcW w:type="dxa" w:w="1728"/>
          </w:tcPr>
          <w:p>
            <w:r>
              <w:t>appliedAt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2"/>
      </w:pPr>
      <w:r>
        <w:t>HR — payroll</w:t>
      </w:r>
    </w:p>
    <w:p>
      <w:pPr>
        <w:pStyle w:val="Heading3"/>
      </w:pPr>
      <w:r>
        <w:t>PayrollPeriod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month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First-of-month; Dec 1 of the target year for THIRTEENTH_MONTH</w:t>
            </w:r>
          </w:p>
        </w:tc>
      </w:tr>
      <w:tr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PayrollPeriodType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REGULAR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PayrollPeriodStatus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DRAFT</w:t>
            </w:r>
          </w:p>
        </w:tc>
        <w:tc>
          <w:tcPr>
            <w:tcW w:type="dxa" w:w="1728"/>
          </w:tcPr>
          <w:p>
            <w:r>
              <w:t>DRAFT → COMPUTED → FINALIZED</w:t>
            </w:r>
          </w:p>
        </w:tc>
      </w:tr>
      <w:tr>
        <w:tc>
          <w:tcPr>
            <w:tcW w:type="dxa" w:w="1728"/>
          </w:tcPr>
          <w:p>
            <w:r>
              <w:t>createdByUserId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</w:t>
            </w:r>
          </w:p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finalizedAt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@@unique([month, type])</w:t>
            </w:r>
            <w:r>
              <w:t xml:space="preserve"> — lets a REGULAR and THIRTEENTH_MONTH period coexist in the same month</w:t>
            </w:r>
          </w:p>
        </w:tc>
      </w:tr>
    </w:tbl>
    <w:p>
      <w:pPr>
        <w:pStyle w:val="Heading3"/>
      </w:pPr>
      <w:r>
        <w:t>Payslip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periodId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PayrollPeriod, Cascade</w:t>
            </w:r>
          </w:p>
        </w:tc>
      </w:tr>
      <w:tr>
        <w:tc>
          <w:tcPr>
            <w:tcW w:type="dxa" w:w="1728"/>
          </w:tcPr>
          <w:p>
            <w:r>
              <w:t>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</w:t>
            </w:r>
          </w:p>
        </w:tc>
      </w:tr>
      <w:tr>
        <w:tc>
          <w:tcPr>
            <w:tcW w:type="dxa" w:w="1728"/>
          </w:tcPr>
          <w:p>
            <w:r>
              <w:t>basicSalaryUgx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Snapshotted — prorated for THIRTEENTH_MONTH</w:t>
            </w:r>
          </w:p>
        </w:tc>
      </w:tr>
      <w:tr>
        <w:tc>
          <w:tcPr>
            <w:tcW w:type="dxa" w:w="1728"/>
          </w:tcPr>
          <w:p>
            <w:r>
              <w:t>taxableAllowancesUgx / nonTaxableAllowancesUgx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overtimeUgx / bonusUgx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grossPayUgx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Display total (taxable gross + non-taxable allowances)</w:t>
            </w:r>
          </w:p>
        </w:tc>
      </w:tr>
      <w:tr>
        <w:tc>
          <w:tcPr>
            <w:tcW w:type="dxa" w:w="1728"/>
          </w:tcPr>
          <w:p>
            <w:r>
              <w:t>payeTaxUgx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nssfEmployeeUgx / nssfEmployerUgx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Computed on </w:t>
            </w:r>
            <w:r>
              <w:rPr>
                <w:rFonts w:ascii="Consolas" w:hAnsi="Consolas"/>
                <w:sz w:val="20"/>
              </w:rPr>
              <w:t>basicSalaryUgx</w:t>
            </w:r>
            <w:r>
              <w:t xml:space="preserve"> only — documented simplification</w:t>
            </w:r>
          </w:p>
        </w:tc>
      </w:tr>
      <w:tr>
        <w:tc>
          <w:tcPr>
            <w:tcW w:type="dxa" w:w="1728"/>
          </w:tcPr>
          <w:p>
            <w:r>
              <w:t>penaltyUgx / advanceRepaymentUgx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netPayUgx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computedAt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@@unique([periodId, employeeId])</w:t>
            </w:r>
          </w:p>
        </w:tc>
      </w:tr>
    </w:tbl>
    <w:p>
      <w:pPr>
        <w:pStyle w:val="Heading3"/>
      </w:pPr>
      <w:r>
        <w:t>EmployeeAllowance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Employee, Cascade</w:t>
            </w:r>
          </w:p>
        </w:tc>
      </w:tr>
      <w:tr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AllowanceType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OTHER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label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amountUgx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taxable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  <w:tc>
          <w:tcPr>
            <w:tcW w:type="dxa" w:w="1728"/>
          </w:tcPr>
          <w:p>
            <w:r>
              <w:t>Controls PAYE-chargeable vs. straight-to-net</w:t>
            </w:r>
          </w:p>
        </w:tc>
      </w:tr>
      <w:tr>
        <w:tc>
          <w:tcPr>
            <w:tcW w:type="dxa" w:w="1728"/>
          </w:tcPr>
          <w:p>
            <w:r>
              <w:t>active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  <w:tc>
          <w:tcPr>
            <w:tcW w:type="dxa" w:w="1728"/>
          </w:tcPr>
          <w:p>
            <w:r>
              <w:t>Applied to every regular run while active</w:t>
            </w:r>
          </w:p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SalaryAdvance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</w:t>
            </w:r>
          </w:p>
        </w:tc>
      </w:tr>
      <w:tr>
        <w:tc>
          <w:tcPr>
            <w:tcW w:type="dxa" w:w="1728"/>
          </w:tcPr>
          <w:p>
            <w:r>
              <w:t>principalUgx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balanceRemainingUgx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Only decremented at </w:t>
            </w:r>
            <w:r>
              <w:rPr>
                <w:rFonts w:ascii="Consolas" w:hAnsi="Consolas"/>
                <w:sz w:val="20"/>
              </w:rPr>
              <w:t>PayrollService.finalize()</w:t>
            </w:r>
            <w:r>
              <w:t xml:space="preserve"> — re-running a not-yet-finalized period doesn't mutate it</w:t>
            </w:r>
          </w:p>
        </w:tc>
      </w:tr>
      <w:tr>
        <w:tc>
          <w:tcPr>
            <w:tcW w:type="dxa" w:w="1728"/>
          </w:tcPr>
          <w:p>
            <w:r>
              <w:t>monthlyInstallmentUgx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SalaryAdvanceStatus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issuedAt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approvedByUserId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</w:t>
            </w:r>
          </w:p>
        </w:tc>
      </w:tr>
      <w:tr>
        <w:tc>
          <w:tcPr>
            <w:tcW w:type="dxa" w:w="1728"/>
          </w:tcPr>
          <w:p>
            <w:r>
              <w:t>note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PayslipAdvanceRepayment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payslipId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Payslip, Cascade</w:t>
            </w:r>
          </w:p>
        </w:tc>
      </w:tr>
      <w:tr>
        <w:tc>
          <w:tcPr>
            <w:tcW w:type="dxa" w:w="1728"/>
          </w:tcPr>
          <w:p>
            <w:r>
              <w:t>advanceId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SalaryAdvance</w:t>
            </w:r>
          </w:p>
        </w:tc>
      </w:tr>
      <w:tr>
        <w:tc>
          <w:tcPr>
            <w:tcW w:type="dxa" w:w="1728"/>
          </w:tcPr>
          <w:p>
            <w:r>
              <w:t>amountUgx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Snapshotted per payslip, not recomputed at finalize time</w:t>
            </w:r>
          </w:p>
        </w:tc>
      </w:tr>
    </w:tbl>
    <w:p>
      <w:pPr>
        <w:pStyle w:val="Heading3"/>
      </w:pPr>
      <w:r>
        <w:t>PayrollAdjustment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periodId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PayrollPeriod, Cascade</w:t>
            </w:r>
          </w:p>
        </w:tc>
      </w:tr>
      <w:tr>
        <w:tc>
          <w:tcPr>
            <w:tcW w:type="dxa" w:w="1728"/>
          </w:tcPr>
          <w:p>
            <w:r>
              <w:t>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</w:t>
            </w:r>
          </w:p>
        </w:tc>
      </w:tr>
      <w:tr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PayrollAdjustmentType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label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amountUgx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taxable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  <w:tc>
          <w:tcPr>
            <w:tcW w:type="dxa" w:w="1728"/>
          </w:tcPr>
          <w:p>
            <w:r>
              <w:t>Only meaningful for BONUS/OVERTIME/OTHER_EARNING — deductions are always post-tax</w:t>
            </w:r>
          </w:p>
        </w:tc>
      </w:tr>
      <w:tr>
        <w:tc>
          <w:tcPr>
            <w:tcW w:type="dxa" w:w="1728"/>
          </w:tcPr>
          <w:p>
            <w:r>
              <w:t>createdByUserId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</w:t>
            </w:r>
          </w:p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</w:tbl>
    <w:p>
      <w:pPr>
        <w:pStyle w:val="Heading2"/>
      </w:pPr>
      <w:r>
        <w:t>Activity log / audit trail</w:t>
      </w:r>
    </w:p>
    <w:p>
      <w:pPr>
        <w:pStyle w:val="Heading3"/>
      </w:pPr>
      <w:r>
        <w:t>ActivityLog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actorUserId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 a real FK</w:t>
            </w:r>
            <w:r>
              <w:t xml:space="preserve"> — plain string, snapshotted</w:t>
            </w:r>
          </w:p>
        </w:tc>
      </w:tr>
      <w:tr>
        <w:tc>
          <w:tcPr>
            <w:tcW w:type="dxa" w:w="1728"/>
          </w:tcPr>
          <w:p>
            <w:r>
              <w:t>actorRole</w:t>
            </w:r>
          </w:p>
        </w:tc>
        <w:tc>
          <w:tcPr>
            <w:tcW w:type="dxa" w:w="1728"/>
          </w:tcPr>
          <w:p>
            <w:r>
              <w:t>UserRole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Snapshotted — a later role change doesn't rewrite past entries</w:t>
            </w:r>
          </w:p>
        </w:tc>
      </w:tr>
      <w:tr>
        <w:tc>
          <w:tcPr>
            <w:tcW w:type="dxa" w:w="1728"/>
          </w:tcPr>
          <w:p>
            <w:r>
              <w:t>actorType</w:t>
            </w:r>
          </w:p>
        </w:tc>
        <w:tc>
          <w:tcPr>
            <w:tcW w:type="dxa" w:w="1728"/>
          </w:tcPr>
          <w:p>
            <w:r>
              <w:t>ActivityActorType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CUSTOMER / STAFF / SYSTEM</w:t>
            </w:r>
          </w:p>
        </w:tc>
      </w:tr>
      <w:tr>
        <w:tc>
          <w:tcPr>
            <w:tcW w:type="dxa" w:w="1728"/>
          </w:tcPr>
          <w:p>
            <w:r>
              <w:t>action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Machine-readable code, e.g. </w:t>
            </w:r>
            <w:r>
              <w:rPr>
                <w:rFonts w:ascii="Consolas" w:hAnsi="Consolas"/>
                <w:sz w:val="20"/>
              </w:rPr>
              <w:t>CUSTOMER_SUSPENDED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ORDER_STATUS_CHANGED</w:t>
            </w:r>
          </w:p>
        </w:tc>
      </w:tr>
      <w:tr>
        <w:tc>
          <w:tcPr>
            <w:tcW w:type="dxa" w:w="1728"/>
          </w:tcPr>
          <w:p>
            <w:r>
              <w:t>entityType / entityId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metadata</w:t>
            </w:r>
          </w:p>
        </w:tc>
        <w:tc>
          <w:tcPr>
            <w:tcW w:type="dxa" w:w="1728"/>
          </w:tcPr>
          <w:p>
            <w:r>
              <w:t>Json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Must never contain passwords/tokens/secrets</w:t>
            </w:r>
          </w:p>
        </w:tc>
      </w:tr>
      <w:tr>
        <w:tc>
          <w:tcPr>
            <w:tcW w:type="dxa" w:w="1728"/>
          </w:tcPr>
          <w:p>
            <w:r>
              <w:t>ipAddress / userAgent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@@index</w:t>
            </w:r>
            <w:r>
              <w:t xml:space="preserve"> on actorUserId, </w:t>
            </w:r>
            <w:r>
              <w:rPr>
                <w:rFonts w:ascii="Consolas" w:hAnsi="Consolas"/>
                <w:sz w:val="20"/>
              </w:rPr>
              <w:t>[entityType, entityId]</w:t>
            </w:r>
            <w:r>
              <w:t>, action, createdAt</w:t>
            </w:r>
          </w:p>
        </w:tc>
      </w:tr>
    </w:tbl>
    <w:p>
      <w:pPr>
        <w:pStyle w:val="Heading2"/>
      </w:pPr>
      <w:r>
        <w:t>Financial &amp; accounting (multi-entity)</w:t>
      </w:r>
    </w:p>
    <w:p>
      <w:pPr>
        <w:pStyle w:val="Heading3"/>
      </w:pPr>
      <w:r>
        <w:t>LegalEntity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name / code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Both </w:t>
            </w:r>
            <w:r>
              <w:rPr>
                <w:rFonts w:ascii="Consolas" w:hAnsi="Consolas"/>
                <w:sz w:val="20"/>
              </w:rPr>
              <w:t>@unique</w:t>
            </w:r>
          </w:p>
        </w:tc>
      </w:tr>
      <w:tr>
        <w:tc>
          <w:tcPr>
            <w:tcW w:type="dxa" w:w="1728"/>
          </w:tcPr>
          <w:p>
            <w:r>
              <w:t>functionalCurrency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ISO 4217</w:t>
            </w:r>
          </w:p>
        </w:tc>
      </w:tr>
      <w:tr>
        <w:tc>
          <w:tcPr>
            <w:tcW w:type="dxa" w:w="1728"/>
          </w:tcPr>
          <w:p>
            <w:r>
              <w:t>parentEntityId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LegalEntity (self); null = the group's ultimate parent</w:t>
            </w:r>
          </w:p>
        </w:tc>
      </w:tr>
      <w:tr>
        <w:tc>
          <w:tcPr>
            <w:tcW w:type="dxa" w:w="1728"/>
          </w:tcPr>
          <w:p>
            <w:r>
              <w:t>currentGroupFxRate</w:t>
            </w:r>
          </w:p>
        </w:tc>
        <w:tc>
          <w:tcPr>
            <w:tcW w:type="dxa" w:w="1728"/>
          </w:tcPr>
          <w:p>
            <w:r>
              <w:t>Decimal(18,6)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No live FX feed — re-priced manually; period-snapshotting is follow-up work</w:t>
            </w:r>
          </w:p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GroupSettings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reportingCurrency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"UGX"</w:t>
            </w:r>
          </w:p>
        </w:tc>
        <w:tc>
          <w:tcPr>
            <w:tcW w:type="dxa" w:w="1728"/>
          </w:tcPr>
          <w:p>
            <w:r>
              <w:t>Singleton — always read as the first row, no UI/API to create a second</w:t>
            </w:r>
          </w:p>
        </w:tc>
      </w:tr>
      <w:tr>
        <w:tc>
          <w:tcPr>
            <w:tcW w:type="dxa" w:w="1728"/>
          </w:tcPr>
          <w:p>
            <w:r>
              <w:t>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Account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entityId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LegalEntity</w:t>
            </w:r>
          </w:p>
        </w:tc>
      </w:tr>
      <w:tr>
        <w:tc>
          <w:tcPr>
            <w:tcW w:type="dxa" w:w="1728"/>
          </w:tcPr>
          <w:p>
            <w:r>
              <w:t>code / name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AccountType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ASSET/LIABILITY/EQUITY/REVENUE/EXPENSE</w:t>
            </w:r>
          </w:p>
        </w:tc>
      </w:tr>
      <w:tr>
        <w:tc>
          <w:tcPr>
            <w:tcW w:type="dxa" w:w="1728"/>
          </w:tcPr>
          <w:p>
            <w:r>
              <w:t>parentAccountId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Account (self)</w:t>
            </w:r>
          </w:p>
        </w:tc>
      </w:tr>
      <w:tr>
        <w:tc>
          <w:tcPr>
            <w:tcW w:type="dxa" w:w="1728"/>
          </w:tcPr>
          <w:p>
            <w:r>
              <w:t>cashFlowCategory</w:t>
            </w:r>
          </w:p>
        </w:tc>
        <w:tc>
          <w:tcPr>
            <w:tcW w:type="dxa" w:w="1728"/>
          </w:tcPr>
          <w:p>
            <w:r>
              <w:t>CashFlowCategory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Only meaningful for ASSET/LIABILITY</w:t>
            </w:r>
          </w:p>
        </w:tc>
      </w:tr>
      <w:tr>
        <w:tc>
          <w:tcPr>
            <w:tcW w:type="dxa" w:w="1728"/>
          </w:tcPr>
          <w:p>
            <w:r>
              <w:t>isIntercompany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false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counterpartyEntityId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LegalEntity — marks which entity an intercompany account nets against</w:t>
            </w:r>
          </w:p>
        </w:tc>
      </w:tr>
      <w:tr>
        <w:tc>
          <w:tcPr>
            <w:tcW w:type="dxa" w:w="1728"/>
          </w:tcPr>
          <w:p>
            <w:r>
              <w:t>isActive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@@unique([entityId, code])</w:t>
            </w:r>
          </w:p>
        </w:tc>
      </w:tr>
    </w:tbl>
    <w:p>
      <w:pPr>
        <w:pStyle w:val="Heading3"/>
      </w:pPr>
      <w:r>
        <w:t>FiscalPeriod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entityId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LegalEntity</w:t>
            </w:r>
          </w:p>
        </w:tc>
      </w:tr>
      <w:tr>
        <w:tc>
          <w:tcPr>
            <w:tcW w:type="dxa" w:w="1728"/>
          </w:tcPr>
          <w:p>
            <w:r>
              <w:t>month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First of month, UTC-midnight</w:t>
            </w:r>
          </w:p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FiscalPeriodStatus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OPEN</w:t>
            </w:r>
          </w:p>
        </w:tc>
        <w:tc>
          <w:tcPr>
            <w:tcW w:type="dxa" w:w="1728"/>
          </w:tcPr>
          <w:p>
            <w:r>
              <w:t>Journal entries can only post into an OPEN period</w:t>
            </w:r>
          </w:p>
        </w:tc>
      </w:tr>
      <w:tr>
        <w:tc>
          <w:tcPr>
            <w:tcW w:type="dxa" w:w="1728"/>
          </w:tcPr>
          <w:p>
            <w:r>
              <w:t>closedAt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@@unique([entityId, month])</w:t>
            </w:r>
          </w:p>
        </w:tc>
      </w:tr>
    </w:tbl>
    <w:p>
      <w:pPr>
        <w:pStyle w:val="Heading3"/>
      </w:pPr>
      <w:r>
        <w:t>JournalEntry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entityId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LegalEntity</w:t>
            </w:r>
          </w:p>
        </w:tc>
      </w:tr>
      <w:tr>
        <w:tc>
          <w:tcPr>
            <w:tcW w:type="dxa" w:w="1728"/>
          </w:tcPr>
          <w:p>
            <w:r>
              <w:t>fiscalPeriodId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FiscalPeriod</w:t>
            </w:r>
          </w:p>
        </w:tc>
      </w:tr>
      <w:tr>
        <w:tc>
          <w:tcPr>
            <w:tcW w:type="dxa" w:w="1728"/>
          </w:tcPr>
          <w:p>
            <w:r>
              <w:t>entryNumber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Sequential per entity — same race-window caveat as </w:t>
            </w:r>
            <w:r>
              <w:rPr>
                <w:rFonts w:ascii="Consolas" w:hAnsi="Consolas"/>
                <w:sz w:val="20"/>
              </w:rPr>
              <w:t>Order.orderNumber</w:t>
            </w:r>
          </w:p>
        </w:tc>
      </w:tr>
      <w:tr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JournalEntryStatus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POSTED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fxRateToGroupCurrency</w:t>
            </w:r>
          </w:p>
        </w:tc>
        <w:tc>
          <w:tcPr>
            <w:tcW w:type="dxa" w:w="1728"/>
          </w:tcPr>
          <w:p>
            <w:r>
              <w:t>Decimal(18,6)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Snapshotted at posting time</w:t>
            </w:r>
          </w:p>
        </w:tc>
      </w:tr>
      <w:tr>
        <w:tc>
          <w:tcPr>
            <w:tcW w:type="dxa" w:w="1728"/>
          </w:tcPr>
          <w:p>
            <w:r>
              <w:t>intercompanyGroupId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Links the linked entries of one intercompany transaction across entities</w:t>
            </w:r>
          </w:p>
        </w:tc>
      </w:tr>
      <w:tr>
        <w:tc>
          <w:tcPr>
            <w:tcW w:type="dxa" w:w="1728"/>
          </w:tcPr>
          <w:p>
            <w:r>
              <w:t>createdByUserId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Plain string, not a </w:t>
            </w:r>
            <w:r>
              <w:rPr>
                <w:rFonts w:ascii="Consolas" w:hAnsi="Consolas"/>
                <w:sz w:val="20"/>
              </w:rPr>
              <w:t>@relation</w:t>
            </w:r>
            <w:r>
              <w:t xml:space="preserve"> (unusual for this schema — see the ERD doc's callout list)</w:t>
            </w:r>
          </w:p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@@unique([entityId, entryNumber])</w:t>
            </w:r>
          </w:p>
        </w:tc>
      </w:tr>
    </w:tbl>
    <w:p>
      <w:pPr>
        <w:pStyle w:val="Heading3"/>
      </w:pPr>
      <w:r>
        <w:t>JournalEntryLine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journalEntryId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JournalEntry, Cascade</w:t>
            </w:r>
          </w:p>
        </w:tc>
      </w:tr>
      <w:tr>
        <w:tc>
          <w:tcPr>
            <w:tcW w:type="dxa" w:w="1728"/>
          </w:tcPr>
          <w:p>
            <w:r>
              <w:t>accountId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Account</w:t>
            </w:r>
          </w:p>
        </w:tc>
      </w:tr>
      <w:tr>
        <w:tc>
          <w:tcPr>
            <w:tcW w:type="dxa" w:w="1728"/>
          </w:tcPr>
          <w:p>
            <w:r>
              <w:t>debitAmount / creditAmount</w:t>
            </w:r>
          </w:p>
        </w:tc>
        <w:tc>
          <w:tcPr>
            <w:tcW w:type="dxa" w:w="1728"/>
          </w:tcPr>
          <w:p>
            <w:r>
              <w:t>Decimal(18,2)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 xml:space="preserve">Exactly one non-zero — enforced in </w:t>
            </w:r>
            <w:r>
              <w:rPr>
                <w:rFonts w:ascii="Consolas" w:hAnsi="Consolas"/>
                <w:sz w:val="20"/>
              </w:rPr>
              <w:t>JournalService</w:t>
            </w:r>
            <w:r>
              <w:t>, not a DB constraint</w:t>
            </w:r>
          </w:p>
        </w:tc>
      </w:tr>
      <w:tr>
        <w:tc>
          <w:tcPr>
            <w:tcW w:type="dxa" w:w="1728"/>
          </w:tcPr>
          <w:p>
            <w:r>
              <w:t>memo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</w:tbl>
    <w:p>
      <w:pPr>
        <w:pStyle w:val="Heading2"/>
      </w:pPr>
      <w:r>
        <w:t>Marketplace &amp; payments (cont'd) — Exchange rate audit</w:t>
      </w:r>
    </w:p>
    <w:p>
      <w:pPr>
        <w:pStyle w:val="Heading3"/>
      </w:pPr>
      <w:r>
        <w:t>ExchangeRateHistory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legalEntityId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 a real FK</w:t>
            </w:r>
            <w:r>
              <w:t xml:space="preserve"> — plain string</w:t>
            </w:r>
          </w:p>
        </w:tc>
      </w:tr>
      <w:tr>
        <w:tc>
          <w:tcPr>
            <w:tcW w:type="dxa" w:w="1728"/>
          </w:tcPr>
          <w:p>
            <w:r>
              <w:t>fromRate / toRate</w:t>
            </w:r>
          </w:p>
        </w:tc>
        <w:tc>
          <w:tcPr>
            <w:tcW w:type="dxa" w:w="1728"/>
          </w:tcPr>
          <w:p>
            <w:r>
              <w:t>Decimal(18,6)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changedByUserId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 a real FK</w:t>
            </w:r>
            <w:r>
              <w:t xml:space="preserve"> — plain string</w:t>
            </w:r>
          </w:p>
        </w:tc>
      </w:tr>
      <w:tr>
        <w:tc>
          <w:tcPr>
            <w:tcW w:type="dxa" w:w="1728"/>
          </w:tcPr>
          <w:p>
            <w:r>
              <w:t>changedAt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>
            <w:r>
              <w:t xml:space="preserve">Written every time </w:t>
            </w:r>
            <w:r>
              <w:rPr>
                <w:rFonts w:ascii="Consolas" w:hAnsi="Consolas"/>
                <w:sz w:val="20"/>
              </w:rPr>
              <w:t>LegalEntity.currentGroupFxRate</w:t>
            </w:r>
            <w:r>
              <w:t xml:space="preserve"> changes — the audit trail of how the live rate got there</w:t>
            </w:r>
          </w:p>
        </w:tc>
      </w:tr>
    </w:tbl>
    <w:p>
      <w:pPr>
        <w:pStyle w:val="Heading2"/>
      </w:pPr>
      <w:r>
        <w:t>Enums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Enum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t>UserRole</w:t>
            </w:r>
          </w:p>
        </w:tc>
        <w:tc>
          <w:tcPr>
            <w:tcW w:type="dxa" w:w="2880"/>
          </w:tcPr>
          <w:p>
            <w:r>
              <w:t>CUSTOMER, OWNER, STORE_MANAGER, FULFILLMENT, SUPPORT_AGENT, HR_MANAGER, DRIVER</w:t>
            </w:r>
          </w:p>
        </w:tc>
        <w:tc>
          <w:tcPr>
            <w:tcW w:type="dxa" w:w="2880"/>
          </w:tcPr>
          <w:p>
            <w:r>
              <w:t xml:space="preserve">Access-control role, staff + customer. </w:t>
            </w:r>
            <w:r>
              <w:rPr>
                <w:rFonts w:ascii="Consolas" w:hAnsi="Consolas"/>
                <w:sz w:val="20"/>
              </w:rPr>
              <w:t>DRIVER</w:t>
            </w:r>
            <w:r>
              <w:t xml:space="preserve"> added commit </w:t>
            </w:r>
            <w:r>
              <w:rPr>
                <w:rFonts w:ascii="Consolas" w:hAnsi="Consolas"/>
                <w:sz w:val="20"/>
              </w:rPr>
              <w:t>75b7cff</w:t>
            </w:r>
            <w:r>
              <w:t xml:space="preserve"> (Driver App, not in original SRS)</w:t>
            </w:r>
          </w:p>
        </w:tc>
      </w:tr>
      <w:tr>
        <w:tc>
          <w:tcPr>
            <w:tcW w:type="dxa" w:w="2880"/>
          </w:tcPr>
          <w:p>
            <w:r>
              <w:t>CustomerTier</w:t>
            </w:r>
          </w:p>
        </w:tc>
        <w:tc>
          <w:tcPr>
            <w:tcW w:type="dxa" w:w="2880"/>
          </w:tcPr>
          <w:p>
            <w:r>
              <w:t>STANDARD, GOLD, WHOLESALE</w:t>
            </w:r>
          </w:p>
        </w:tc>
        <w:tc>
          <w:tcPr>
            <w:tcW w:type="dxa" w:w="2880"/>
          </w:tcPr>
          <w:p>
            <w:r>
              <w:t>Loyalty/pricing tier</w:t>
            </w:r>
          </w:p>
        </w:tc>
      </w:tr>
      <w:tr>
        <w:tc>
          <w:tcPr>
            <w:tcW w:type="dxa" w:w="2880"/>
          </w:tcPr>
          <w:p>
            <w:r>
              <w:t>NotificationType</w:t>
            </w:r>
          </w:p>
        </w:tc>
        <w:tc>
          <w:tcPr>
            <w:tcW w:type="dxa" w:w="2880"/>
          </w:tcPr>
          <w:p>
            <w:r>
              <w:t>NEWSLETTER</w:t>
            </w:r>
          </w:p>
        </w:tc>
        <w:tc>
          <w:tcPr>
            <w:tcW w:type="dxa" w:w="2880"/>
          </w:tcPr>
          <w:p>
            <w:r>
              <w:t>In-app notification discriminator</w:t>
            </w:r>
          </w:p>
        </w:tc>
      </w:tr>
      <w:tr>
        <w:tc>
          <w:tcPr>
            <w:tcW w:type="dxa" w:w="2880"/>
          </w:tcPr>
          <w:p>
            <w:r>
              <w:t>OtpChannel</w:t>
            </w:r>
          </w:p>
        </w:tc>
        <w:tc>
          <w:tcPr>
            <w:tcW w:type="dxa" w:w="2880"/>
          </w:tcPr>
          <w:p>
            <w:r>
              <w:t>EMAIL, SMS</w:t>
            </w:r>
          </w:p>
        </w:tc>
        <w:tc>
          <w:tcPr>
            <w:tcW w:type="dxa" w:w="2880"/>
          </w:tcPr>
          <w:p>
            <w:r>
              <w:t>Registration OTP delivery channel</w:t>
            </w:r>
          </w:p>
        </w:tc>
      </w:tr>
      <w:tr>
        <w:tc>
          <w:tcPr>
            <w:tcW w:type="dxa" w:w="2880"/>
          </w:tcPr>
          <w:p>
            <w:r>
              <w:t>OtpPurpose</w:t>
            </w:r>
          </w:p>
        </w:tc>
        <w:tc>
          <w:tcPr>
            <w:tcW w:type="dxa" w:w="2880"/>
          </w:tcPr>
          <w:p>
            <w:r>
              <w:t>REGISTRATION</w:t>
            </w:r>
          </w:p>
        </w:tc>
        <w:tc>
          <w:tcPr>
            <w:tcW w:type="dxa" w:w="2880"/>
          </w:tcPr>
          <w:p>
            <w:r>
              <w:t>Only value in use</w:t>
            </w:r>
          </w:p>
        </w:tc>
      </w:tr>
      <w:tr>
        <w:tc>
          <w:tcPr>
            <w:tcW w:type="dxa" w:w="2880"/>
          </w:tcPr>
          <w:p>
            <w:r>
              <w:t>AddressType</w:t>
            </w:r>
          </w:p>
        </w:tc>
        <w:tc>
          <w:tcPr>
            <w:tcW w:type="dxa" w:w="2880"/>
          </w:tcPr>
          <w:p>
            <w:r>
              <w:t>SHIPPING, BILLING</w:t>
            </w:r>
          </w:p>
        </w:tc>
        <w:tc>
          <w:tcPr>
            <w:tcW w:type="dxa" w:w="2880"/>
          </w:tcPr>
          <w:p>
            <w:r>
              <w:t xml:space="preserve">Scopes </w:t>
            </w:r>
            <w:r>
              <w:rPr>
                <w:rFonts w:ascii="Consolas" w:hAnsi="Consolas"/>
                <w:sz w:val="20"/>
              </w:rPr>
              <w:t>Address.isDefault</w:t>
            </w:r>
          </w:p>
        </w:tc>
      </w:tr>
      <w:tr>
        <w:tc>
          <w:tcPr>
            <w:tcW w:type="dxa" w:w="2880"/>
          </w:tcPr>
          <w:p>
            <w:r>
              <w:t>PaymentMethodType</w:t>
            </w:r>
          </w:p>
        </w:tc>
        <w:tc>
          <w:tcPr>
            <w:tcW w:type="dxa" w:w="2880"/>
          </w:tcPr>
          <w:p>
            <w:r>
              <w:t>MOBILE_MONEY, CARD, PAYPAL</w:t>
            </w:r>
          </w:p>
        </w:tc>
        <w:tc>
          <w:tcPr>
            <w:tcW w:type="dxa" w:w="2880"/>
          </w:tcPr>
          <w:p>
            <w:r>
              <w:t>Only MOBILE_MONEY fully supported</w:t>
            </w:r>
          </w:p>
        </w:tc>
      </w:tr>
      <w:tr>
        <w:tc>
          <w:tcPr>
            <w:tcW w:type="dxa" w:w="2880"/>
          </w:tcPr>
          <w:p>
            <w:r>
              <w:t>ProductStatus</w:t>
            </w:r>
          </w:p>
        </w:tc>
        <w:tc>
          <w:tcPr>
            <w:tcW w:type="dxa" w:w="2880"/>
          </w:tcPr>
          <w:p>
            <w:r>
              <w:t>DRAFT, ACTIVE, ARCHIVED</w:t>
            </w:r>
          </w:p>
        </w:tc>
        <w:tc>
          <w:tcPr>
            <w:tcW w:type="dxa" w:w="2880"/>
          </w:tcPr>
          <w:p>
            <w:r>
              <w:t>ARCHIVED replaces hard-delete once order history exists</w:t>
            </w:r>
          </w:p>
        </w:tc>
      </w:tr>
      <w:tr>
        <w:tc>
          <w:tcPr>
            <w:tcW w:type="dxa" w:w="2880"/>
          </w:tcPr>
          <w:p>
            <w:r>
              <w:t>OrderStatus</w:t>
            </w:r>
          </w:p>
        </w:tc>
        <w:tc>
          <w:tcPr>
            <w:tcW w:type="dxa" w:w="2880"/>
          </w:tcPr>
          <w:p>
            <w:r>
              <w:t>PENDING, PROCESSING, SHIPPED, DELIVERED, REFUND_REQUESTED, REFUNDED, CANCELLED</w:t>
            </w:r>
          </w:p>
        </w:tc>
        <w:tc>
          <w:tcPr>
            <w:tcW w:type="dxa" w:w="2880"/>
          </w:tcPr>
          <w:p>
            <w:r>
              <w:t>Governed by an explicit transition state machine</w:t>
            </w:r>
          </w:p>
        </w:tc>
      </w:tr>
      <w:tr>
        <w:tc>
          <w:tcPr>
            <w:tcW w:type="dxa" w:w="2880"/>
          </w:tcPr>
          <w:p>
            <w:r>
              <w:t>DeliveryStatus</w:t>
            </w:r>
          </w:p>
        </w:tc>
        <w:tc>
          <w:tcPr>
            <w:tcW w:type="dxa" w:w="2880"/>
          </w:tcPr>
          <w:p>
            <w:r>
              <w:t>ASSIGNED, EN_ROUTE_TO_PICKUP, PICKED_UP, EN_ROUTE_TO_CUSTOMER, DELIVERED, FAILED</w:t>
            </w:r>
          </w:p>
        </w:tc>
        <w:tc>
          <w:tcPr>
            <w:tcW w:type="dxa" w:w="2880"/>
          </w:tcPr>
          <w:p>
            <w:r>
              <w:t xml:space="preserve">Driver App (commit </w:t>
            </w:r>
            <w:r>
              <w:rPr>
                <w:rFonts w:ascii="Consolas" w:hAnsi="Consolas"/>
                <w:sz w:val="20"/>
              </w:rPr>
              <w:t>75b7cff</w:t>
            </w:r>
            <w:r>
              <w:t xml:space="preserve">, not in original SRS) — </w:t>
            </w:r>
            <w:r>
              <w:rPr>
                <w:rFonts w:ascii="Consolas" w:hAnsi="Consolas"/>
                <w:sz w:val="20"/>
              </w:rPr>
              <w:t>PICKED_UP</w:t>
            </w:r>
            <w:r>
              <w:t>/</w:t>
            </w:r>
            <w:r>
              <w:rPr>
                <w:rFonts w:ascii="Consolas" w:hAnsi="Consolas"/>
                <w:sz w:val="20"/>
              </w:rPr>
              <w:t>DELIVERED</w:t>
            </w:r>
            <w:r>
              <w:t xml:space="preserve"> mirror onto </w:t>
            </w:r>
            <w:r>
              <w:rPr>
                <w:rFonts w:ascii="Consolas" w:hAnsi="Consolas"/>
                <w:sz w:val="20"/>
              </w:rPr>
              <w:t>Order.status</w:t>
            </w:r>
            <w:r>
              <w:t xml:space="preserve"> (SHIPPED/DELIVERED respectively); </w:t>
            </w:r>
            <w:r>
              <w:rPr>
                <w:rFonts w:ascii="Consolas" w:hAnsi="Consolas"/>
                <w:sz w:val="20"/>
              </w:rPr>
              <w:t>FAILED</w:t>
            </w:r>
            <w:r>
              <w:t xml:space="preserve"> reachable from any in-progress state, terminal like </w:t>
            </w:r>
            <w:r>
              <w:rPr>
                <w:rFonts w:ascii="Consolas" w:hAnsi="Consolas"/>
                <w:sz w:val="20"/>
              </w:rPr>
              <w:t>DELIVERED</w:t>
            </w:r>
          </w:p>
        </w:tc>
      </w:tr>
      <w:tr>
        <w:tc>
          <w:tcPr>
            <w:tcW w:type="dxa" w:w="2880"/>
          </w:tcPr>
          <w:p>
            <w:r>
              <w:t>DriverStatus</w:t>
            </w:r>
          </w:p>
        </w:tc>
        <w:tc>
          <w:tcPr>
            <w:tcW w:type="dxa" w:w="2880"/>
          </w:tcPr>
          <w:p>
            <w:r>
              <w:t>OFFLINE, AVAILABLE, ON_DELIVERY</w:t>
            </w:r>
          </w:p>
        </w:tc>
        <w:tc>
          <w:tcPr>
            <w:tcW w:type="dxa" w:w="2880"/>
          </w:tcPr>
          <w:p>
            <w:r>
              <w:t xml:space="preserve">Added commit </w:t>
            </w:r>
            <w:r>
              <w:rPr>
                <w:rFonts w:ascii="Consolas" w:hAnsi="Consolas"/>
                <w:sz w:val="20"/>
              </w:rPr>
              <w:t>445a258</w:t>
            </w:r>
            <w:r>
              <w:t xml:space="preserve"> — self-reported driver availability, </w:t>
            </w:r>
            <w:r>
              <w:rPr>
                <w:rFonts w:ascii="Consolas" w:hAnsi="Consolas"/>
                <w:sz w:val="20"/>
              </w:rPr>
              <w:t>User.driverStatus</w:t>
            </w:r>
          </w:p>
        </w:tc>
      </w:tr>
      <w:tr>
        <w:tc>
          <w:tcPr>
            <w:tcW w:type="dxa" w:w="2880"/>
          </w:tcPr>
          <w:p>
            <w:r>
              <w:t>DeliveryPriority</w:t>
            </w:r>
          </w:p>
        </w:tc>
        <w:tc>
          <w:tcPr>
            <w:tcW w:type="dxa" w:w="2880"/>
          </w:tcPr>
          <w:p>
            <w:r>
              <w:t>NORMAL, URGENT</w:t>
            </w:r>
          </w:p>
        </w:tc>
        <w:tc>
          <w:tcPr>
            <w:tcW w:type="dxa" w:w="2880"/>
          </w:tcPr>
          <w:p>
            <w:r>
              <w:t xml:space="preserve">Added commit </w:t>
            </w:r>
            <w:r>
              <w:rPr>
                <w:rFonts w:ascii="Consolas" w:hAnsi="Consolas"/>
                <w:sz w:val="20"/>
              </w:rPr>
              <w:t>445a258</w:t>
            </w:r>
            <w:r>
              <w:t xml:space="preserve"> — set at assignment, ordering hint for the driver's own list</w:t>
            </w:r>
          </w:p>
        </w:tc>
      </w:tr>
      <w:tr>
        <w:tc>
          <w:tcPr>
            <w:tcW w:type="dxa" w:w="2880"/>
          </w:tcPr>
          <w:p>
            <w:r>
              <w:t>DeliveryMethod</w:t>
            </w:r>
          </w:p>
        </w:tc>
        <w:tc>
          <w:tcPr>
            <w:tcW w:type="dxa" w:w="2880"/>
          </w:tcPr>
          <w:p>
            <w:r>
              <w:t>STANDARD, EXPRESS, SAME_DAY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CouponType</w:t>
            </w:r>
          </w:p>
        </w:tc>
        <w:tc>
          <w:tcPr>
            <w:tcW w:type="dxa" w:w="2880"/>
          </w:tcPr>
          <w:p>
            <w:r>
              <w:t>PERCENT_OFF, FIXED_OFF, FREE_SHIPPING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TicketStatus</w:t>
            </w:r>
          </w:p>
        </w:tc>
        <w:tc>
          <w:tcPr>
            <w:tcW w:type="dxa" w:w="2880"/>
          </w:tcPr>
          <w:p>
            <w:r>
              <w:t>OPEN, IN_PROGRESS, RESOLVED, CLOSED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CmsStatus</w:t>
            </w:r>
          </w:p>
        </w:tc>
        <w:tc>
          <w:tcPr>
            <w:tcW w:type="dxa" w:w="2880"/>
          </w:tcPr>
          <w:p>
            <w:r>
              <w:t>DRAFT, PUBLISHED</w:t>
            </w:r>
          </w:p>
        </w:tc>
        <w:tc>
          <w:tcPr>
            <w:tcW w:type="dxa" w:w="2880"/>
          </w:tcPr>
          <w:p>
            <w:r>
              <w:t>Shared by CmsPage/BlogPost</w:t>
            </w:r>
          </w:p>
        </w:tc>
      </w:tr>
      <w:tr>
        <w:tc>
          <w:tcPr>
            <w:tcW w:type="dxa" w:w="2880"/>
          </w:tcPr>
          <w:p>
            <w:r>
              <w:t>EmploymentType</w:t>
            </w:r>
          </w:p>
        </w:tc>
        <w:tc>
          <w:tcPr>
            <w:tcW w:type="dxa" w:w="2880"/>
          </w:tcPr>
          <w:p>
            <w:r>
              <w:t>FULL_TIME, PART_TIME, CONTRACT, INTERN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EmploymentStatus</w:t>
            </w:r>
          </w:p>
        </w:tc>
        <w:tc>
          <w:tcPr>
            <w:tcW w:type="dxa" w:w="2880"/>
          </w:tcPr>
          <w:p>
            <w:r>
              <w:t>ACTIVE, ON_LEAVE, SUSPENDED, TERMINATED</w:t>
            </w:r>
          </w:p>
        </w:tc>
        <w:tc>
          <w:tcPr>
            <w:tcW w:type="dxa" w:w="2880"/>
          </w:tcPr>
          <w:p>
            <w:r>
              <w:t>TERMINATED is the "delete" for Employee</w:t>
            </w:r>
          </w:p>
        </w:tc>
      </w:tr>
      <w:tr>
        <w:tc>
          <w:tcPr>
            <w:tcW w:type="dxa" w:w="2880"/>
          </w:tcPr>
          <w:p>
            <w:r>
              <w:t>EmploymentChangeType</w:t>
            </w:r>
          </w:p>
        </w:tc>
        <w:tc>
          <w:tcPr>
            <w:tcW w:type="dxa" w:w="2880"/>
          </w:tcPr>
          <w:p>
            <w:r>
              <w:t>HIRED, PROMOTION, TRANSFER, SALARY_CHANGE, ROLE_CHANGE, SUSPENSION, REINSTATEMENT, TERMINATION, REHIRE</w:t>
            </w:r>
          </w:p>
        </w:tc>
        <w:tc>
          <w:tcPr>
            <w:tcW w:type="dxa" w:w="2880"/>
          </w:tcPr>
          <w:p>
            <w:r>
              <w:t xml:space="preserve">Drives auto-logged </w:t>
            </w:r>
            <w:r>
              <w:rPr>
                <w:rFonts w:ascii="Consolas" w:hAnsi="Consolas"/>
                <w:sz w:val="20"/>
              </w:rPr>
              <w:t>EmploymentHistoryEntry</w:t>
            </w:r>
            <w:r>
              <w:t xml:space="preserve"> rows</w:t>
            </w:r>
          </w:p>
        </w:tc>
      </w:tr>
      <w:tr>
        <w:tc>
          <w:tcPr>
            <w:tcW w:type="dxa" w:w="2880"/>
          </w:tcPr>
          <w:p>
            <w:r>
              <w:t>EmployeeDocumentType</w:t>
            </w:r>
          </w:p>
        </w:tc>
        <w:tc>
          <w:tcPr>
            <w:tcW w:type="dxa" w:w="2880"/>
          </w:tcPr>
          <w:p>
            <w:r>
              <w:t>CONTRACT, ID_DOCUMENT, CERTIFICATE, PERFORMANCE_NOTE, OTHER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PermissionResource</w:t>
            </w:r>
          </w:p>
        </w:tc>
        <w:tc>
          <w:tcPr>
            <w:tcW w:type="dxa" w:w="2880"/>
          </w:tcPr>
          <w:p>
            <w:r>
              <w:t>PRODUCTS, ORDERS, INVENTORY, CUSTOMERS, MARKETING, CMS, SETTINGS, HR_DASHBOARD, HR_EMPLOYEES, HR_ATTENDANCE, HR_LEAVE, HR_SHIFTS, HR_RECRUITMENT, HR_PAYROLL, HR_PERFORMANCE</w:t>
            </w:r>
          </w:p>
        </w:tc>
        <w:tc>
          <w:tcPr>
            <w:tcW w:type="dxa" w:w="2880"/>
          </w:tcPr>
          <w:p>
            <w:r>
              <w:t xml:space="preserve">One per admin nav area — mirrors </w:t>
            </w:r>
            <w:r>
              <w:rPr>
                <w:rFonts w:ascii="Consolas" w:hAnsi="Consolas"/>
                <w:sz w:val="20"/>
              </w:rPr>
              <w:t>admin-shell.tsx</w:t>
            </w:r>
            <w:r>
              <w:t xml:space="preserve"> exactly</w:t>
            </w:r>
          </w:p>
        </w:tc>
      </w:tr>
      <w:tr>
        <w:tc>
          <w:tcPr>
            <w:tcW w:type="dxa" w:w="2880"/>
          </w:tcPr>
          <w:p>
            <w:r>
              <w:t>AttendanceSource</w:t>
            </w:r>
          </w:p>
        </w:tc>
        <w:tc>
          <w:tcPr>
            <w:tcW w:type="dxa" w:w="2880"/>
          </w:tcPr>
          <w:p>
            <w:r>
              <w:t>WEB</w:t>
            </w:r>
          </w:p>
        </w:tc>
        <w:tc>
          <w:tcPr>
            <w:tcW w:type="dxa" w:w="2880"/>
          </w:tcPr>
          <w:p>
            <w:r>
              <w:t>Only value — no biometric/device integration</w:t>
            </w:r>
          </w:p>
        </w:tc>
      </w:tr>
      <w:tr>
        <w:tc>
          <w:tcPr>
            <w:tcW w:type="dxa" w:w="2880"/>
          </w:tcPr>
          <w:p>
            <w:r>
              <w:t>LeaveType</w:t>
            </w:r>
          </w:p>
        </w:tc>
        <w:tc>
          <w:tcPr>
            <w:tcW w:type="dxa" w:w="2880"/>
          </w:tcPr>
          <w:p>
            <w:r>
              <w:t>ANNUAL, SICK, MATERNITY, PATERNITY, UNPAID, OTHER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LeaveRequestStatus</w:t>
            </w:r>
          </w:p>
        </w:tc>
        <w:tc>
          <w:tcPr>
            <w:tcW w:type="dxa" w:w="2880"/>
          </w:tcPr>
          <w:p>
            <w:r>
              <w:t>PENDING, APPROVED, REJECTED, CANCELLED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ShiftStatus</w:t>
            </w:r>
          </w:p>
        </w:tc>
        <w:tc>
          <w:tcPr>
            <w:tcW w:type="dxa" w:w="2880"/>
          </w:tcPr>
          <w:p>
            <w:r>
              <w:t>SCHEDULED, CANCELLED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ShiftSwapStatus</w:t>
            </w:r>
          </w:p>
        </w:tc>
        <w:tc>
          <w:tcPr>
            <w:tcW w:type="dxa" w:w="2880"/>
          </w:tcPr>
          <w:p>
            <w:r>
              <w:t>PENDING, APPROVED, REJECTED, CANCELLED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GoalStatus</w:t>
            </w:r>
          </w:p>
        </w:tc>
        <w:tc>
          <w:tcPr>
            <w:tcW w:type="dxa" w:w="2880"/>
          </w:tcPr>
          <w:p>
            <w:r>
              <w:t>NOT_STARTED, IN_PROGRESS, COMPLETED, MISSED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ReviewStatus</w:t>
            </w:r>
          </w:p>
        </w:tc>
        <w:tc>
          <w:tcPr>
            <w:tcW w:type="dxa" w:w="2880"/>
          </w:tcPr>
          <w:p>
            <w:r>
              <w:t>DRAFT, SUBMITTED, ACKNOWLEDGED</w:t>
            </w:r>
          </w:p>
        </w:tc>
        <w:tc>
          <w:tcPr>
            <w:tcW w:type="dxa" w:w="2880"/>
          </w:tcPr>
          <w:p>
            <w:r>
              <w:t>SUBMITTED locks content until the employee acknowledges</w:t>
            </w:r>
          </w:p>
        </w:tc>
      </w:tr>
      <w:tr>
        <w:tc>
          <w:tcPr>
            <w:tcW w:type="dxa" w:w="2880"/>
          </w:tcPr>
          <w:p>
            <w:r>
              <w:t>JobPostingStatus</w:t>
            </w:r>
          </w:p>
        </w:tc>
        <w:tc>
          <w:tcPr>
            <w:tcW w:type="dxa" w:w="2880"/>
          </w:tcPr>
          <w:p>
            <w:r>
              <w:t>DRAFT, OPEN, CLOSED, FILLED</w:t>
            </w:r>
          </w:p>
        </w:tc>
        <w:tc>
          <w:tcPr>
            <w:tcW w:type="dxa" w:w="2880"/>
          </w:tcPr>
          <w:p>
            <w:r>
              <w:t>Auto-transitions to FILLED on applicant conversion</w:t>
            </w:r>
          </w:p>
        </w:tc>
      </w:tr>
      <w:tr>
        <w:tc>
          <w:tcPr>
            <w:tcW w:type="dxa" w:w="2880"/>
          </w:tcPr>
          <w:p>
            <w:r>
              <w:t>ApplicantStage</w:t>
            </w:r>
          </w:p>
        </w:tc>
        <w:tc>
          <w:tcPr>
            <w:tcW w:type="dxa" w:w="2880"/>
          </w:tcPr>
          <w:p>
            <w:r>
              <w:t>APPLIED, SCREENING, INTERVIEW, OFFER, HIRED, REJECTED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PayrollPeriodStatus</w:t>
            </w:r>
          </w:p>
        </w:tc>
        <w:tc>
          <w:tcPr>
            <w:tcW w:type="dxa" w:w="2880"/>
          </w:tcPr>
          <w:p>
            <w:r>
              <w:t>DRAFT, COMPUTED, FINALIZED</w:t>
            </w:r>
          </w:p>
        </w:tc>
        <w:tc>
          <w:tcPr>
            <w:tcW w:type="dxa" w:w="2880"/>
          </w:tcPr>
          <w:p>
            <w:r>
              <w:t>FINALIZED locks the period; advance-ledger balances commit here</w:t>
            </w:r>
          </w:p>
        </w:tc>
      </w:tr>
      <w:tr>
        <w:tc>
          <w:tcPr>
            <w:tcW w:type="dxa" w:w="2880"/>
          </w:tcPr>
          <w:p>
            <w:r>
              <w:t>PayrollPeriodType</w:t>
            </w:r>
          </w:p>
        </w:tc>
        <w:tc>
          <w:tcPr>
            <w:tcW w:type="dxa" w:w="2880"/>
          </w:tcPr>
          <w:p>
            <w:r>
              <w:t>REGULAR, THIRTEENTH_MONTH</w:t>
            </w:r>
          </w:p>
        </w:tc>
        <w:tc>
          <w:tcPr>
            <w:tcW w:type="dxa" w:w="2880"/>
          </w:tcPr>
          <w:p>
            <w:r>
              <w:t>Separate proration rule, excludes allowances/overtime/bonus/advance recovery</w:t>
            </w:r>
          </w:p>
        </w:tc>
      </w:tr>
      <w:tr>
        <w:tc>
          <w:tcPr>
            <w:tcW w:type="dxa" w:w="2880"/>
          </w:tcPr>
          <w:p>
            <w:r>
              <w:t>AllowanceType</w:t>
            </w:r>
          </w:p>
        </w:tc>
        <w:tc>
          <w:tcPr>
            <w:tcW w:type="dxa" w:w="2880"/>
          </w:tcPr>
          <w:p>
            <w:r>
              <w:t>HOUSING, TRANSPORT, LUNCH, MEDICAL, HARDSHIP, OTHER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SalaryAdvanceStatus</w:t>
            </w:r>
          </w:p>
        </w:tc>
        <w:tc>
          <w:tcPr>
            <w:tcW w:type="dxa" w:w="2880"/>
          </w:tcPr>
          <w:p>
            <w:r>
              <w:t>ACTIVE, PAID_OFF, CANCELLED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PayrollAdjustmentType</w:t>
            </w:r>
          </w:p>
        </w:tc>
        <w:tc>
          <w:tcPr>
            <w:tcW w:type="dxa" w:w="2880"/>
          </w:tcPr>
          <w:p>
            <w:r>
              <w:t>BONUS, PENALTY, OVERTIME, OTHER_EARNING, OTHER_DEDUCTION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ActivityActorType</w:t>
            </w:r>
          </w:p>
        </w:tc>
        <w:tc>
          <w:tcPr>
            <w:tcW w:type="dxa" w:w="2880"/>
          </w:tcPr>
          <w:p>
            <w:r>
              <w:t>CUSTOMER, STAFF, SYSTEM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AccountType</w:t>
            </w:r>
          </w:p>
        </w:tc>
        <w:tc>
          <w:tcPr>
            <w:tcW w:type="dxa" w:w="2880"/>
          </w:tcPr>
          <w:p>
            <w:r>
              <w:t>ASSET, LIABILITY, EQUITY, REVENUE, EXPENSE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CashFlowCategory</w:t>
            </w:r>
          </w:p>
        </w:tc>
        <w:tc>
          <w:tcPr>
            <w:tcW w:type="dxa" w:w="2880"/>
          </w:tcPr>
          <w:p>
            <w:r>
              <w:t>OPERATING, INVESTING, FINANCING</w:t>
            </w:r>
          </w:p>
        </w:tc>
        <w:tc>
          <w:tcPr>
            <w:tcW w:type="dxa" w:w="2880"/>
          </w:tcPr>
          <w:p>
            <w:r>
              <w:t>Drives the indirect-method cash flow statement</w:t>
            </w:r>
          </w:p>
        </w:tc>
      </w:tr>
      <w:tr>
        <w:tc>
          <w:tcPr>
            <w:tcW w:type="dxa" w:w="2880"/>
          </w:tcPr>
          <w:p>
            <w:r>
              <w:t>FiscalPeriodStatus</w:t>
            </w:r>
          </w:p>
        </w:tc>
        <w:tc>
          <w:tcPr>
            <w:tcW w:type="dxa" w:w="2880"/>
          </w:tcPr>
          <w:p>
            <w:r>
              <w:t>OPEN, CLOSED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JournalEntryStatus</w:t>
            </w:r>
          </w:p>
        </w:tc>
        <w:tc>
          <w:tcPr>
            <w:tcW w:type="dxa" w:w="2880"/>
          </w:tcPr>
          <w:p>
            <w:r>
              <w:t>DRAFT, POSTED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VendorStatus</w:t>
            </w:r>
          </w:p>
        </w:tc>
        <w:tc>
          <w:tcPr>
            <w:tcW w:type="dxa" w:w="2880"/>
          </w:tcPr>
          <w:p>
            <w:r>
              <w:t>ACTIVE, SUSPENDED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VendorPayoutStatus</w:t>
            </w:r>
          </w:p>
        </w:tc>
        <w:tc>
          <w:tcPr>
            <w:tcW w:type="dxa" w:w="2880"/>
          </w:tcPr>
          <w:p>
            <w:r>
              <w:t>PENDING, PAID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PaymentProvider</w:t>
            </w:r>
          </w:p>
        </w:tc>
        <w:tc>
          <w:tcPr>
            <w:tcW w:type="dxa" w:w="2880"/>
          </w:tcPr>
          <w:p>
            <w:r>
              <w:t>FLUTTERWAVE</w:t>
            </w:r>
          </w:p>
        </w:tc>
        <w:tc>
          <w:tcPr>
            <w:tcW w:type="dxa" w:w="2880"/>
          </w:tcPr>
          <w:p>
            <w:r>
              <w:t>Only integrated gateway</w:t>
            </w:r>
          </w:p>
        </w:tc>
      </w:tr>
      <w:tr>
        <w:tc>
          <w:tcPr>
            <w:tcW w:type="dxa" w:w="2880"/>
          </w:tcPr>
          <w:p>
            <w:r>
              <w:t>PaymentTransactionStatus</w:t>
            </w:r>
          </w:p>
        </w:tc>
        <w:tc>
          <w:tcPr>
            <w:tcW w:type="dxa" w:w="2880"/>
          </w:tcPr>
          <w:p>
            <w:r>
              <w:t>PENDING, SUCCESSFUL, FAILED, REFUNDED, CHARGEBACK</w:t>
            </w:r>
          </w:p>
        </w:tc>
        <w:tc>
          <w:tcPr>
            <w:tcW w:type="dxa" w:w="288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./03-database-design.docx" TargetMode="External"/><Relationship Id="rId10" Type="http://schemas.openxmlformats.org/officeDocument/2006/relationships/hyperlink" Target="./22-entity-relationship-diagram.docx" TargetMode="External"/><Relationship Id="rId11" Type="http://schemas.openxmlformats.org/officeDocument/2006/relationships/hyperlink" Target="./21-data-flow-diagram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23. Data Dictionary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