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01. Project Overview</w:t>
      </w:r>
    </w:p>
    <w:p>
      <w:pPr>
        <w:pStyle w:val="Heading2"/>
      </w:pPr>
      <w:r>
        <w:t>Document Control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ChrisPa — Project Overview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 August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Baseline</w:t>
            </w:r>
          </w:p>
        </w:tc>
      </w:tr>
      <w:tr>
        <w:tc>
          <w:tcPr>
            <w:tcW w:type="dxa" w:w="4320"/>
          </w:tcPr>
          <w:p>
            <w:r>
              <w:t>Related</w:t>
            </w:r>
          </w:p>
        </w:tc>
        <w:tc>
          <w:tcPr>
            <w:tcW w:type="dxa" w:w="4320"/>
          </w:tcPr>
          <w:p>
            <w:hyperlink r:id="rId9">
              <w:r>
                <w:rPr>
                  <w:color w:val="0563C1"/>
                  <w:u w:val="single"/>
                </w:rPr>
                <w:t xml:space="preserve">`docs/SRS.md`</w:t>
              </w:r>
            </w:hyperlink>
            <w:r>
              <w:t xml:space="preserve">, </w:t>
            </w:r>
            <w:hyperlink r:id="rId10">
              <w:r>
                <w:rPr>
                  <w:color w:val="0563C1"/>
                  <w:u w:val="single"/>
                </w:rPr>
                <w:t xml:space="preserve">`00-documentation-index.md`</w:t>
              </w:r>
            </w:hyperlink>
          </w:p>
        </w:tc>
      </w:tr>
    </w:tbl>
    <w:p>
      <w:pPr>
        <w:pStyle w:val="Heading2"/>
      </w:pPr>
      <w:r>
        <w:t>What ChrisPa is</w:t>
      </w:r>
    </w:p>
    <w:p>
      <w:r>
        <w:rPr>
          <w:b/>
        </w:rPr>
        <w:t>ChrisPa Scents and Soaps LTD</w:t>
      </w:r>
      <w:r>
        <w:t xml:space="preserve"> is a Kampala, Uganda-based natural wellness e-commerce brand selling candles, sea salts, ghee, honey, and soap bars; the parent of a multi-entity corporate group; and, since a later addition, a </w:t>
      </w:r>
      <w:r>
        <w:rPr>
          <w:b/>
        </w:rPr>
        <w:t>multi-vendor marketplace</w:t>
      </w:r>
      <w:r>
        <w:t xml:space="preserve"> — third-party sellers list products alongside ChrisPa's own. The software project is the digital platform that runs the business: a customer-facing storefront, an internal admin/back-office console, and (as later additions) an internal HR/payroll system for staff management, a multi-entity Financial &amp; Accounting Management system (</w:t>
      </w:r>
      <w:r>
        <w:rPr>
          <w:rFonts w:ascii="Consolas" w:hAnsi="Consolas"/>
          <w:sz w:val="20"/>
        </w:rPr>
        <w:t>docs/SRS.md</w:t>
      </w:r>
      <w:r>
        <w:t xml:space="preserve"> §20) for group-wide bookkeeping and consolidated reporting, and marketplace/payments/tax functionality (</w:t>
      </w:r>
      <w:r>
        <w:rPr>
          <w:rFonts w:ascii="Consolas" w:hAnsi="Consolas"/>
          <w:sz w:val="20"/>
        </w:rPr>
        <w:t>docs/SRS.md</w:t>
      </w:r>
      <w:r>
        <w:t xml:space="preserve"> §21) — vendor commission splits, a real Flutterwave gateway integration, Uganda VAT, and accrual-basis revenue recognition wired directly into checkout and order fulfillment.</w:t>
      </w:r>
    </w:p>
    <w:p>
      <w:r>
        <w:t>The product requirements originate from a set of static HTML wireframes (</w:t>
      </w:r>
      <w:r>
        <w:rPr>
          <w:rFonts w:ascii="Consolas" w:hAnsi="Consolas"/>
          <w:sz w:val="20"/>
        </w:rPr>
        <w:t>mockUps/</w:t>
      </w:r>
      <w:r>
        <w:t>) that were turned into a formal Software Requirements Specification (</w:t>
      </w:r>
      <w:r>
        <w:rPr>
          <w:rFonts w:ascii="Consolas" w:hAnsi="Consolas"/>
          <w:sz w:val="20"/>
        </w:rPr>
        <w:t>docs/SRS.md</w:t>
      </w:r>
      <w:r>
        <w:t xml:space="preserve">, FR-ID by FR-ID) and then implemented as the application in </w:t>
      </w:r>
      <w:r>
        <w:rPr>
          <w:rFonts w:ascii="Consolas" w:hAnsi="Consolas"/>
          <w:sz w:val="20"/>
        </w:rPr>
        <w:t>apps/</w:t>
      </w:r>
      <w:r>
        <w:t>. HR (</w:t>
      </w:r>
      <w:r>
        <w:rPr>
          <w:rFonts w:ascii="Consolas" w:hAnsi="Consolas"/>
          <w:sz w:val="20"/>
        </w:rPr>
        <w:t>apps/api/src/modules/hr</w:t>
      </w:r>
      <w:r>
        <w:t xml:space="preserve">) is the one major exception — it was scoped and approved directly with the project owner in four phases, outside the original wireframes/SRS (see </w:t>
      </w:r>
      <w:r>
        <w:rPr>
          <w:rFonts w:ascii="Consolas" w:hAnsi="Consolas"/>
          <w:sz w:val="20"/>
        </w:rPr>
        <w:t>docs/SRS.md</w:t>
      </w:r>
      <w:r>
        <w:t xml:space="preserve"> §18).</w:t>
      </w:r>
    </w:p>
    <w:p>
      <w:pPr>
        <w:pStyle w:val="Heading2"/>
      </w:pPr>
      <w:r>
        <w:t>Problem</w:t>
      </w:r>
    </w:p>
    <w:p>
      <w:r>
        <w:t>Many commercial personal-care, home-cleaning, and culinary products contain harsh chemicals, artificial fragrances, and toxins that can harm skin, health, and the environment. People are also looking for natural ways to manage stress, prevent bug-borne diseases, and preserve food (vegetables, herbs, medicinal plants) without compromising quality — access to natural, healthy, effective alternatives is limited.</w:t>
      </w:r>
    </w:p>
    <w:p>
      <w:pPr>
        <w:pStyle w:val="Heading2"/>
      </w:pPr>
      <w:r>
        <w:t>Solution</w:t>
      </w:r>
    </w:p>
    <w:p>
      <w:r>
        <w:t>ChrisPa offers natural, organic, and therapeutic products made from locally-sourced ingredients — goat's milk, honey, herbs, ghee, soywax, beeswax, sea salt, and essential oils — spanning personal care, home cleaning, culinary, and wellness needs, plus specialized masterclasses and facility-care services that educate and empower customers to adopt healthier habits and maintain clean, safe spaces.</w:t>
      </w:r>
    </w:p>
    <w:p>
      <w:r>
        <w:t xml:space="preserve">The software platform documented here implements the </w:t>
      </w:r>
      <w:r>
        <w:rPr>
          <w:b/>
        </w:rPr>
        <w:t>e-commerce side</w:t>
      </w:r>
      <w:r>
        <w:t xml:space="preserve"> of that solution end-to-end (catalog, cart, checkout, orders, loyalty, CRM, admin back-office, HR/payroll). </w:t>
      </w:r>
      <w:r>
        <w:rPr>
          <w:b/>
        </w:rPr>
        <w:t>Masterclasses and facility-care services are not yet represented in the product</w:t>
      </w:r>
      <w:r>
        <w:t xml:space="preserve"> — no FR-IDs, data model, or UI exist for them today; see </w:t>
      </w:r>
      <w:r>
        <w:rPr>
          <w:rFonts w:ascii="Consolas" w:hAnsi="Consolas"/>
          <w:sz w:val="20"/>
        </w:rPr>
        <w:t>docs/SRS.md</w:t>
      </w:r>
      <w:r>
        <w:t xml:space="preserve"> §1 ("Out of scope (v1)") and §2 ("Business Context"). They're recorded here as real business scope so a future phase can pick them up deliberately, the same way HR was added after the original wireframes/SRS.</w:t>
      </w:r>
    </w:p>
    <w:p>
      <w:pPr>
        <w:pStyle w:val="Heading2"/>
      </w:pPr>
      <w:r>
        <w:t>Target market</w:t>
      </w:r>
    </w:p>
    <w:p>
      <w:pPr>
        <w:pStyle w:val="ListNumber"/>
      </w:pPr>
      <w:r>
        <w:t>Health-conscious individuals</w:t>
      </w:r>
    </w:p>
    <w:p>
      <w:pPr>
        <w:pStyle w:val="ListNumber"/>
      </w:pPr>
      <w:r>
        <w:t>Eco-friendly consumers</w:t>
      </w:r>
    </w:p>
    <w:p>
      <w:pPr>
        <w:pStyle w:val="ListNumber"/>
      </w:pPr>
      <w:r>
        <w:t>People seeking natural wellness solutions</w:t>
      </w:r>
    </w:p>
    <w:p>
      <w:pPr>
        <w:pStyle w:val="ListNumber"/>
      </w:pPr>
      <w:r>
        <w:t>Hotels, spas, and wellness centers</w:t>
      </w:r>
    </w:p>
    <w:p>
      <w:pPr>
        <w:pStyle w:val="ListNumber"/>
      </w:pPr>
      <w:r>
        <w:t>Middle- to upper-income households in urban areas</w:t>
      </w:r>
    </w:p>
    <w:p>
      <w:r>
        <w:t xml:space="preserve">The current product (customer storefront + admin console) is built for direct retail sales to individual consumers (targets 1–3, 5). Targets 4 (hotels, spas, wellness centers) implies B2B/wholesale buying patterns — </w:t>
      </w:r>
      <w:r>
        <w:rPr>
          <w:rFonts w:ascii="Consolas" w:hAnsi="Consolas"/>
          <w:sz w:val="20"/>
        </w:rPr>
        <w:t>docs/SRS.md</w:t>
      </w:r>
      <w:r>
        <w:t xml:space="preserve"> §2 already scopes "Wholesale/Corporate accounts (SSO-eligible)" as a customer segment alongside Retail, so the data model has room for this; a dedicated wholesale ordering flow (bulk pricing, purchase orders, invoicing terms) is not yet built and would be a natural next-phase candidate once demand from that segment is confirmed.</w:t>
      </w:r>
    </w:p>
    <w:p>
      <w:pPr>
        <w:pStyle w:val="Heading2"/>
      </w:pPr>
      <w:r>
        <w:t>Why this document set exists</w:t>
      </w:r>
    </w:p>
    <w:p>
      <w:r>
        <w:t>This documentation set (</w:t>
      </w:r>
      <w:r>
        <w:rPr>
          <w:rFonts w:ascii="Consolas" w:hAnsi="Consolas"/>
          <w:sz w:val="20"/>
        </w:rPr>
        <w:t>docs/0*-*.md</w:t>
      </w:r>
      <w:r>
        <w:t xml:space="preserve"> through </w:t>
      </w:r>
      <w:r>
        <w:rPr>
          <w:rFonts w:ascii="Consolas" w:hAnsi="Consolas"/>
          <w:sz w:val="20"/>
        </w:rPr>
        <w:t>docs/18-appendices.md</w:t>
      </w:r>
      <w:r>
        <w:t xml:space="preserve">) was written against </w:t>
      </w:r>
      <w:r>
        <w:rPr>
          <w:rFonts w:ascii="Consolas" w:hAnsi="Consolas"/>
          <w:sz w:val="20"/>
        </w:rPr>
        <w:t>docs/Software_Development_and_DevOps_Documentation_v2_Observability.docx</w:t>
      </w:r>
      <w:r>
        <w:t>, a generic software-development and DevOps documentation template. That template assumes a fairly large, fully self-hosted operations platform (GitLab + GitLab Runner, Ansible, WireGuard, Traefik/Certbot, LXC, iRedMail, Zulip, Pi-hole, Nextcloud, Checkmk, Borg/borgmatic, plus a Prometheus/Grafana/Jaeger/EFK observability stack). ChrisPa is a small e-commerce business, not an enterprise running that scale of infrastructure — almost none of that tooling exists in this repository today.</w:t>
      </w:r>
    </w:p>
    <w:p>
      <w:r>
        <w:t xml:space="preserve">Rather than inventing infrastructure that isn't there, each document below follows the template's structure and headings but reports ChrisPa's </w:t>
      </w:r>
      <w:r>
        <w:rPr>
          <w:b/>
        </w:rPr>
        <w:t>actual</w:t>
      </w:r>
      <w:r>
        <w:t xml:space="preserve"> current state first, then a right-sized recommendation. Anything not yet built is marked </w:t>
      </w:r>
      <w:r>
        <w:rPr>
          <w:b/>
        </w:rPr>
        <w:t>Not implemented</w:t>
      </w:r>
      <w:r>
        <w:t xml:space="preserve"> or </w:t>
      </w:r>
      <w:r>
        <w:rPr>
          <w:b/>
        </w:rPr>
        <w:t>Not adopted</w:t>
      </w:r>
      <w:r>
        <w:t xml:space="preserve"> rather than described as if it existed. The one document that engages with the template's specific self-hosted tool list directly is </w:t>
      </w:r>
      <w:hyperlink r:id="rId11">
        <w:r>
          <w:rPr>
            <w:color w:val="0563C1"/>
            <w:u w:val="single"/>
          </w:rPr>
          <w:t xml:space="preserve">`17-infrastructure-platform-roadmap.md`</w:t>
        </w:r>
      </w:hyperlink>
      <w:r>
        <w:t xml:space="preserve">. Two further documents, </w:t>
      </w:r>
      <w:hyperlink r:id="rId12">
        <w:r>
          <w:rPr>
            <w:color w:val="0563C1"/>
            <w:u w:val="single"/>
          </w:rPr>
          <w:t xml:space="preserve">`19`</w:t>
        </w:r>
      </w:hyperlink>
      <w:r>
        <w:t xml:space="preserve"> and </w:t>
      </w:r>
      <w:hyperlink r:id="rId13">
        <w:r>
          <w:rPr>
            <w:color w:val="0563C1"/>
            <w:u w:val="single"/>
          </w:rPr>
          <w:t xml:space="preserve">`20`</w:t>
        </w:r>
      </w:hyperlink>
      <w:r>
        <w:t xml:space="preserve">, sit outside this template-adaptation exercise entirely — genuine end-user manuals for customers and staff, added later at explicit user request; see </w:t>
      </w:r>
      <w:hyperlink r:id="rId10">
        <w:r>
          <w:rPr>
            <w:color w:val="0563C1"/>
            <w:u w:val="single"/>
          </w:rPr>
          <w:t xml:space="preserve">`00-documentation-index.md`</w:t>
        </w:r>
      </w:hyperlink>
      <w:r>
        <w:t xml:space="preserve"> for how they differ from the rest of this set.</w:t>
      </w:r>
    </w:p>
    <w:p>
      <w:pPr>
        <w:pStyle w:val="Heading2"/>
      </w:pPr>
      <w:r>
        <w:t>System components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apps/api</w:t>
            </w:r>
          </w:p>
        </w:tc>
        <w:tc>
          <w:tcPr>
            <w:tcW w:type="dxa" w:w="2160"/>
          </w:tcPr>
          <w:p>
            <w:r>
              <w:t>NestJS 11 + Fastify</w:t>
            </w:r>
          </w:p>
        </w:tc>
        <w:tc>
          <w:tcPr>
            <w:tcW w:type="dxa" w:w="2160"/>
          </w:tcPr>
          <w:p>
            <w:r>
              <w:t>REST backend: catalog, cart, checkout, orders, inventory, CRM, marketing, CMS, loyalty, support, admin users, HR/payroll</w:t>
            </w:r>
          </w:p>
        </w:tc>
      </w:tr>
      <w:tr>
        <w:tc>
          <w:tcPr>
            <w:tcW w:type="dxa" w:w="2160"/>
          </w:tcPr>
          <w:p>
            <w:r>
              <w:t>Storefront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apps/storefront</w:t>
            </w:r>
          </w:p>
        </w:tc>
        <w:tc>
          <w:tcPr>
            <w:tcW w:type="dxa" w:w="2160"/>
          </w:tcPr>
          <w:p>
            <w:r>
              <w:t>Next.js 16 (App Router)</w:t>
            </w:r>
          </w:p>
        </w:tc>
        <w:tc>
          <w:tcPr>
            <w:tcW w:type="dxa" w:w="2160"/>
          </w:tcPr>
          <w:p>
            <w:r>
              <w:t>Customer-facing shop</w:t>
            </w:r>
          </w:p>
        </w:tc>
      </w:tr>
      <w:tr>
        <w:tc>
          <w:tcPr>
            <w:tcW w:type="dxa" w:w="2160"/>
          </w:tcPr>
          <w:p>
            <w:r>
              <w:t>Admin console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apps/admin</w:t>
            </w:r>
          </w:p>
        </w:tc>
        <w:tc>
          <w:tcPr>
            <w:tcW w:type="dxa" w:w="2160"/>
          </w:tcPr>
          <w:p>
            <w:r>
              <w:t>Next.js 16 (App Router)</w:t>
            </w:r>
          </w:p>
        </w:tc>
        <w:tc>
          <w:tcPr>
            <w:tcW w:type="dxa" w:w="2160"/>
          </w:tcPr>
          <w:p>
            <w:r>
              <w:t>Back-office console for staff (Owner, Store Manager, Fulfillment, HR Manager, Support Agent roles)</w:t>
            </w:r>
          </w:p>
        </w:tc>
      </w:tr>
    </w:tbl>
    <w:p>
      <w:r>
        <w:t xml:space="preserve">Shared infrastructure: PostgreSQL 16 (via Prisma ORM) and Redis 7, both run locally today through the root </w:t>
      </w:r>
      <w:r>
        <w:rPr>
          <w:rFonts w:ascii="Consolas" w:hAnsi="Consolas"/>
          <w:sz w:val="20"/>
        </w:rPr>
        <w:t>docker-compose.yml</w:t>
      </w:r>
      <w:r>
        <w:t xml:space="preserve">. There is no shared package between the two frontend apps — each defines its own copy of design tokens and auth helpers, matching the wireframes' "every file is fully standalone" convention (see </w:t>
      </w:r>
      <w:r>
        <w:rPr>
          <w:rFonts w:ascii="Consolas" w:hAnsi="Consolas"/>
          <w:sz w:val="20"/>
        </w:rPr>
        <w:t>CLAUDE.md</w:t>
      </w:r>
      <w:r>
        <w:t>).</w:t>
      </w:r>
    </w:p>
    <w:p>
      <w:pPr>
        <w:pStyle w:val="Heading2"/>
      </w:pPr>
      <w:r>
        <w:t>Repository shape</w:t>
      </w:r>
    </w:p>
    <w:p>
      <w:r>
        <w:rPr>
          <w:rFonts w:ascii="Consolas" w:hAnsi="Consolas"/>
          <w:sz w:val="19"/>
        </w:rPr>
        <w:t>ChrisPa/</w:t>
      </w:r>
    </w:p>
    <w:p>
      <w:r>
        <w:rPr>
          <w:rFonts w:ascii="Consolas" w:hAnsi="Consolas"/>
          <w:sz w:val="19"/>
        </w:rPr>
        <w:t>├── apps/</w:t>
      </w:r>
    </w:p>
    <w:p>
      <w:r>
        <w:rPr>
          <w:rFonts w:ascii="Consolas" w:hAnsi="Consolas"/>
          <w:sz w:val="19"/>
        </w:rPr>
        <w:t>│   ├── api/            NestJS + Fastify backend</w:t>
      </w:r>
    </w:p>
    <w:p>
      <w:r>
        <w:rPr>
          <w:rFonts w:ascii="Consolas" w:hAnsi="Consolas"/>
          <w:sz w:val="19"/>
        </w:rPr>
        <w:t>│   ├── storefront/     Next.js customer storefront</w:t>
      </w:r>
    </w:p>
    <w:p>
      <w:r>
        <w:rPr>
          <w:rFonts w:ascii="Consolas" w:hAnsi="Consolas"/>
          <w:sz w:val="19"/>
        </w:rPr>
        <w:t>│   └── admin/           Next.js admin console</w:t>
      </w:r>
    </w:p>
    <w:p>
      <w:r>
        <w:rPr>
          <w:rFonts w:ascii="Consolas" w:hAnsi="Consolas"/>
          <w:sz w:val="19"/>
        </w:rPr>
        <w:t>├── docs/                SRS + this documentation set</w:t>
      </w:r>
    </w:p>
    <w:p>
      <w:r>
        <w:rPr>
          <w:rFonts w:ascii="Consolas" w:hAnsi="Consolas"/>
          <w:sz w:val="19"/>
        </w:rPr>
        <w:t>├── mockUps/             Original static HTML wireframes</w:t>
      </w:r>
    </w:p>
    <w:p>
      <w:r>
        <w:rPr>
          <w:rFonts w:ascii="Consolas" w:hAnsi="Consolas"/>
          <w:sz w:val="19"/>
        </w:rPr>
        <w:t>├── docker-compose.yml   Local Postgres (5440) + Redis (6380)</w:t>
      </w:r>
    </w:p>
    <w:p>
      <w:r>
        <w:rPr>
          <w:rFonts w:ascii="Consolas" w:hAnsi="Consolas"/>
          <w:sz w:val="19"/>
        </w:rPr>
        <w:t>├── package.json         npm workspaces root</w:t>
      </w:r>
    </w:p>
    <w:p>
      <w:r>
        <w:rPr>
          <w:rFonts w:ascii="Consolas" w:hAnsi="Consolas"/>
          <w:sz w:val="19"/>
        </w:rPr>
        <w:t>└── CLAUDE.md            Engineering-agent operating notes</w:t>
      </w:r>
    </w:p>
    <w:p>
      <w:r>
        <w:t>This is an npm workspaces monorepo (</w:t>
      </w:r>
      <w:r>
        <w:rPr>
          <w:rFonts w:ascii="Consolas" w:hAnsi="Consolas"/>
          <w:sz w:val="20"/>
        </w:rPr>
        <w:t>workspaces: ["apps/*"]</w:t>
      </w:r>
      <w:r>
        <w:t xml:space="preserve">), not the template's suggested </w:t>
      </w:r>
      <w:r>
        <w:rPr>
          <w:rFonts w:ascii="Consolas" w:hAnsi="Consolas"/>
          <w:sz w:val="20"/>
        </w:rPr>
        <w:t>ansible/ applications/ docker/ database/ monitoring/ backup/</w:t>
      </w:r>
      <w:r>
        <w:t xml:space="preserve"> layout (§25 of the template) — see </w:t>
      </w:r>
      <w:hyperlink r:id="rId11">
        <w:r>
          <w:rPr>
            <w:color w:val="0563C1"/>
            <w:u w:val="single"/>
          </w:rPr>
          <w:t xml:space="preserve">`17-infrastructure-platform-roadmap.md`</w:t>
        </w:r>
      </w:hyperlink>
      <w:r>
        <w:t xml:space="preserve"> for why that structure doesn't apply yet and what would trigger adopting a version of it.</w:t>
      </w:r>
    </w:p>
    <w:p>
      <w:pPr>
        <w:pStyle w:val="Heading2"/>
      </w:pPr>
      <w:r>
        <w:t>Current maturity snapshot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t>Product functionality (storefront, admin, HR/payroll, multi-entity finance)</w:t>
            </w:r>
          </w:p>
        </w:tc>
        <w:tc>
          <w:tcPr>
            <w:tcW w:type="dxa" w:w="4320"/>
          </w:tcPr>
          <w:p>
            <w:r>
              <w:t xml:space="preserve">Extensive — see </w:t>
            </w:r>
            <w:r>
              <w:rPr>
                <w:rFonts w:ascii="Consolas" w:hAnsi="Consolas"/>
                <w:sz w:val="20"/>
              </w:rPr>
              <w:t>docs/SRS.md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CLAUDE.md</w:t>
            </w:r>
            <w:r>
              <w:t xml:space="preserve"> for module-by-module detail</w:t>
            </w:r>
          </w:p>
        </w:tc>
      </w:tr>
      <w:tr>
        <w:tc>
          <w:tcPr>
            <w:tcW w:type="dxa" w:w="4320"/>
          </w:tcPr>
          <w:p>
            <w:r>
              <w:t>Automated tests</w:t>
            </w:r>
          </w:p>
        </w:tc>
        <w:tc>
          <w:tcPr>
            <w:tcW w:type="dxa" w:w="4320"/>
          </w:tcPr>
          <w:p>
            <w:r>
              <w:t>Tooling configured per-workspace (</w:t>
            </w:r>
            <w:r>
              <w:rPr>
                <w:rFonts w:ascii="Consolas" w:hAnsi="Consolas"/>
                <w:sz w:val="20"/>
              </w:rPr>
              <w:t>jest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test:e2e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apps/api</w:t>
            </w:r>
            <w:r>
              <w:t xml:space="preserve">), but no real tests written yet — zero </w:t>
            </w:r>
            <w:r>
              <w:rPr>
                <w:rFonts w:ascii="Consolas" w:hAnsi="Consolas"/>
                <w:sz w:val="20"/>
              </w:rPr>
              <w:t>*.spec.ts</w:t>
            </w:r>
            <w:r>
              <w:t xml:space="preserve"> files exist under </w:t>
            </w:r>
            <w:r>
              <w:rPr>
                <w:rFonts w:ascii="Consolas" w:hAnsi="Consolas"/>
                <w:sz w:val="20"/>
              </w:rPr>
              <w:t>apps/api/src</w:t>
            </w:r>
            <w:r>
              <w:t>, and the only e2e spec is the unmodified NestJS CLI scaffold (</w:t>
            </w:r>
            <w:r>
              <w:rPr>
                <w:rFonts w:ascii="Consolas" w:hAnsi="Consolas"/>
                <w:sz w:val="20"/>
              </w:rPr>
              <w:t>apps/api/test/app.e2e-spec.ts</w:t>
            </w:r>
            <w:r>
              <w:t xml:space="preserve">, asserting </w:t>
            </w:r>
            <w:r>
              <w:rPr>
                <w:rFonts w:ascii="Consolas" w:hAnsi="Consolas"/>
                <w:sz w:val="20"/>
              </w:rPr>
              <w:t>GET /</w:t>
            </w:r>
            <w:r>
              <w:t xml:space="preserve"> returns </w:t>
            </w:r>
            <w:r>
              <w:rPr>
                <w:rFonts w:ascii="Consolas" w:hAnsi="Consolas"/>
                <w:sz w:val="20"/>
              </w:rPr>
              <w:t>"Hello World!"</w:t>
            </w:r>
            <w:r>
              <w:t xml:space="preserve">), a route that doesn't exist in this app (global prefix is </w:t>
            </w:r>
            <w:r>
              <w:rPr>
                <w:rFonts w:ascii="Consolas" w:hAnsi="Consolas"/>
                <w:sz w:val="20"/>
              </w:rPr>
              <w:t>api/v1</w:t>
            </w:r>
            <w:r>
              <w:t>) — it would fail if actually run. No CI runs them either way</w:t>
            </w:r>
          </w:p>
        </w:tc>
      </w:tr>
      <w:tr>
        <w:tc>
          <w:tcPr>
            <w:tcW w:type="dxa" w:w="4320"/>
          </w:tcPr>
          <w:p>
            <w:r>
              <w:t>Source control hosting</w:t>
            </w:r>
          </w:p>
        </w:tc>
        <w:tc>
          <w:tcPr>
            <w:tcW w:type="dxa" w:w="4320"/>
          </w:tcPr>
          <w:p>
            <w:r>
              <w:t xml:space="preserve">Local git only — no </w:t>
            </w:r>
            <w:r>
              <w:rPr>
                <w:rFonts w:ascii="Consolas" w:hAnsi="Consolas"/>
                <w:sz w:val="20"/>
              </w:rPr>
              <w:t>origin</w:t>
            </w:r>
            <w:r>
              <w:t xml:space="preserve"> remote configured in this environment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Not implemented</w:t>
            </w:r>
          </w:p>
        </w:tc>
      </w:tr>
      <w:tr>
        <w:tc>
          <w:tcPr>
            <w:tcW w:type="dxa" w:w="4320"/>
          </w:tcPr>
          <w:p>
            <w:r>
              <w:t>Containerized app deployment</w:t>
            </w:r>
          </w:p>
        </w:tc>
        <w:tc>
          <w:tcPr>
            <w:tcW w:type="dxa" w:w="4320"/>
          </w:tcPr>
          <w:p>
            <w:r>
              <w:t>Not implemented (only Postgres/Redis are containerized, for local dev)</w:t>
            </w:r>
          </w:p>
        </w:tc>
      </w:tr>
      <w:tr>
        <w:tc>
          <w:tcPr>
            <w:tcW w:type="dxa" w:w="4320"/>
          </w:tcPr>
          <w:p>
            <w:r>
              <w:t>Production hosting</w:t>
            </w:r>
          </w:p>
        </w:tc>
        <w:tc>
          <w:tcPr>
            <w:tcW w:type="dxa" w:w="4320"/>
          </w:tcPr>
          <w:p>
            <w:r>
              <w:t>Not implemented — no staging or production environment exists yet</w:t>
            </w:r>
          </w:p>
        </w:tc>
      </w:tr>
      <w:tr>
        <w:tc>
          <w:tcPr>
            <w:tcW w:type="dxa" w:w="4320"/>
          </w:tcPr>
          <w:p>
            <w:r>
              <w:t>Monitoring / observability</w:t>
            </w:r>
          </w:p>
        </w:tc>
        <w:tc>
          <w:tcPr>
            <w:tcW w:type="dxa" w:w="4320"/>
          </w:tcPr>
          <w:p>
            <w:r>
              <w:t xml:space="preserve">Not implemented beyond a single </w:t>
            </w:r>
            <w:r>
              <w:rPr>
                <w:rFonts w:ascii="Consolas" w:hAnsi="Consolas"/>
                <w:sz w:val="20"/>
              </w:rPr>
              <w:t>/api/v1/health</w:t>
            </w:r>
            <w:r>
              <w:t xml:space="preserve"> liveness check</w:t>
            </w:r>
          </w:p>
        </w:tc>
      </w:tr>
      <w:tr>
        <w:tc>
          <w:tcPr>
            <w:tcW w:type="dxa" w:w="4320"/>
          </w:tcPr>
          <w:p>
            <w:r>
              <w:t>Backups</w:t>
            </w:r>
          </w:p>
        </w:tc>
        <w:tc>
          <w:tcPr>
            <w:tcW w:type="dxa" w:w="4320"/>
          </w:tcPr>
          <w:p>
            <w:r>
              <w:t>Not implemented</w:t>
            </w:r>
          </w:p>
        </w:tc>
      </w:tr>
    </w:tbl>
    <w:p>
      <w:r>
        <w:t>Every later document in this set expands on one row of this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SRS.docx" TargetMode="External"/><Relationship Id="rId10" Type="http://schemas.openxmlformats.org/officeDocument/2006/relationships/hyperlink" Target="./00-documentation-index.docx" TargetMode="External"/><Relationship Id="rId11" Type="http://schemas.openxmlformats.org/officeDocument/2006/relationships/hyperlink" Target="./17-infrastructure-platform-roadmap.docx" TargetMode="External"/><Relationship Id="rId12" Type="http://schemas.openxmlformats.org/officeDocument/2006/relationships/hyperlink" Target="./19-storefront-user-manual.docx" TargetMode="External"/><Relationship Id="rId13" Type="http://schemas.openxmlformats.org/officeDocument/2006/relationships/hyperlink" Target="./20-admin-user-manual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Project Overview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