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Deployment Procedures and Configuration Management</w:t>
      </w:r>
    </w:p>
    <w:p>
      <w:r>
        <w:t>Adapts template §22 (Deployment Procedure) and the configuration-management requirement.</w:t>
      </w:r>
    </w:p>
    <w:p>
      <w:pPr>
        <w:pStyle w:val="Heading2"/>
      </w:pPr>
      <w:r>
        <w:t>Current deployment procedure</w:t>
      </w:r>
    </w:p>
    <w:p>
      <w:r>
        <w:rPr>
          <w:b/>
        </w:rPr>
        <w:t>There is no deployment procedure — no staging or production environment exists.</w:t>
      </w:r>
      <w:r>
        <w:t xml:space="preserve"> "Deployment" today means a developer running the app locally:</w:t>
      </w:r>
    </w:p>
    <w:p>
      <w:r>
        <w:rPr>
          <w:rFonts w:ascii="Consolas" w:hAnsi="Consolas"/>
          <w:sz w:val="19"/>
        </w:rPr>
        <w:t>npm install</w:t>
      </w:r>
    </w:p>
    <w:p>
      <w:r>
        <w:rPr>
          <w:rFonts w:ascii="Consolas" w:hAnsi="Consolas"/>
          <w:sz w:val="19"/>
        </w:rPr>
        <w:t>docker compose up -d</w:t>
      </w:r>
    </w:p>
    <w:p>
      <w:r>
        <w:rPr>
          <w:rFonts w:ascii="Consolas" w:hAnsi="Consolas"/>
          <w:sz w:val="19"/>
        </w:rPr>
        <w:t>cp apps/api/.env.example apps/api/.env      # then fill in real values</w:t>
      </w:r>
    </w:p>
    <w:p>
      <w:r>
        <w:rPr>
          <w:rFonts w:ascii="Consolas" w:hAnsi="Consolas"/>
          <w:sz w:val="19"/>
        </w:rPr>
        <w:t>npm run prisma:migrate</w:t>
      </w:r>
    </w:p>
    <w:p>
      <w:r>
        <w:rPr>
          <w:rFonts w:ascii="Consolas" w:hAnsi="Consolas"/>
          <w:sz w:val="19"/>
        </w:rPr>
        <w:t>npm run db:seed</w:t>
      </w:r>
    </w:p>
    <w:p>
      <w:r>
        <w:rPr>
          <w:rFonts w:ascii="Consolas" w:hAnsi="Consolas"/>
          <w:sz w:val="19"/>
        </w:rPr>
        <w:t>npm run dev:api          # http://localhost:3000/api/v1</w:t>
      </w:r>
    </w:p>
    <w:p>
      <w:r>
        <w:rPr>
          <w:rFonts w:ascii="Consolas" w:hAnsi="Consolas"/>
          <w:sz w:val="19"/>
        </w:rPr>
        <w:t>npm run dev:storefront   # http://localhost:3001</w:t>
      </w:r>
    </w:p>
    <w:p>
      <w:r>
        <w:rPr>
          <w:rFonts w:ascii="Consolas" w:hAnsi="Consolas"/>
          <w:sz w:val="19"/>
        </w:rPr>
        <w:t>npm run dev:admin        # http://localhost:3002</w:t>
      </w:r>
    </w:p>
    <w:p>
      <w:pPr>
        <w:pStyle w:val="Heading2"/>
      </w:pPr>
      <w:r>
        <w:t>Recommended procedure once staging/production exist</w:t>
      </w:r>
    </w:p>
    <w:p>
      <w:r>
        <w:t>Adapting the template's numbered §22 procedure to this stack:</w:t>
      </w:r>
    </w:p>
    <w:p>
      <w:pPr>
        <w:pStyle w:val="ListNumber"/>
      </w:pPr>
      <w:r>
        <w:t>Confirm requirements and release scope.</w:t>
      </w:r>
    </w:p>
    <w:p>
      <w:pPr>
        <w:pStyle w:val="ListNumber"/>
      </w:pPr>
      <w:r>
        <w:t xml:space="preserve">Merge approved changes into </w:t>
      </w:r>
      <w:r>
        <w:rPr>
          <w:rFonts w:ascii="Consolas" w:hAnsi="Consolas"/>
          <w:sz w:val="20"/>
        </w:rPr>
        <w:t>main</w:t>
      </w:r>
      <w:r>
        <w:t xml:space="preserve"> through a reviewed pull/merge request.</w:t>
      </w:r>
    </w:p>
    <w:p>
      <w:pPr>
        <w:pStyle w:val="ListNumber"/>
      </w:pPr>
      <w:r>
        <w:t xml:space="preserve">CI runs lint, unit tests, and </w:t>
      </w:r>
      <w:r>
        <w:rPr>
          <w:rFonts w:ascii="Consolas" w:hAnsi="Consolas"/>
          <w:sz w:val="20"/>
        </w:rPr>
        <w:t>test:e2e</w:t>
      </w:r>
      <w:r>
        <w:t xml:space="preserve"> (see </w:t>
      </w:r>
      <w:hyperlink r:id="rId9">
        <w:r>
          <w:rPr>
            <w:color w:val="0563C1"/>
            <w:u w:val="single"/>
          </w:rPr>
          <w:t xml:space="preserve">`08-source-code-management-and-cicd.md`</w:t>
        </w:r>
      </w:hyperlink>
      <w:r>
        <w:t>).</w:t>
      </w:r>
    </w:p>
    <w:p>
      <w:pPr>
        <w:pStyle w:val="ListNumber"/>
      </w:pPr>
      <w:r>
        <w:t xml:space="preserve">CI builds and tags a versioned artifact (container images for </w:t>
      </w:r>
      <w:r>
        <w:rPr>
          <w:rFonts w:ascii="Consolas" w:hAnsi="Consolas"/>
          <w:sz w:val="20"/>
        </w:rPr>
        <w:t>api</w:t>
      </w:r>
      <w:r>
        <w:t xml:space="preserve">, </w:t>
      </w:r>
      <w:r>
        <w:rPr>
          <w:rFonts w:ascii="Consolas" w:hAnsi="Consolas"/>
          <w:sz w:val="20"/>
        </w:rPr>
        <w:t>storefront</w:t>
      </w:r>
      <w:r>
        <w:t xml:space="preserve">, </w:t>
      </w:r>
      <w:r>
        <w:rPr>
          <w:rFonts w:ascii="Consolas" w:hAnsi="Consolas"/>
          <w:sz w:val="20"/>
        </w:rPr>
        <w:t>admin</w:t>
      </w:r>
      <w:r>
        <w:t xml:space="preserve">, once those exist — see </w:t>
      </w:r>
      <w:hyperlink r:id="rId10">
        <w:r>
          <w:rPr>
            <w:color w:val="0563C1"/>
            <w:u w:val="single"/>
          </w:rPr>
          <w:t xml:space="preserve">`09-containerization-and-environments.md`</w:t>
        </w:r>
      </w:hyperlink>
      <w:r>
        <w:t>).</w:t>
      </w:r>
    </w:p>
    <w:p>
      <w:pPr>
        <w:pStyle w:val="ListNumber"/>
      </w:pPr>
      <w:r>
        <w:t>Deploy the artifact to staging.</w:t>
      </w:r>
    </w:p>
    <w:p>
      <w:pPr>
        <w:pStyle w:val="ListNumber"/>
      </w:pPr>
      <w:r>
        <w:t xml:space="preserve">Run smoke tests against staging: </w:t>
      </w:r>
      <w:r>
        <w:rPr>
          <w:rFonts w:ascii="Consolas" w:hAnsi="Consolas"/>
          <w:sz w:val="20"/>
        </w:rPr>
        <w:t>GET /api/v1/health</w:t>
      </w:r>
      <w:r>
        <w:t xml:space="preserve">, a login, a read-only catalog fetch, a checkout in </w:t>
      </w:r>
      <w:r>
        <w:rPr>
          <w:rFonts w:ascii="Consolas" w:hAnsi="Consolas"/>
          <w:sz w:val="20"/>
        </w:rPr>
        <w:t>CASH_ON_DELIVERY</w:t>
      </w:r>
      <w:r>
        <w:t xml:space="preserve"> mode.</w:t>
      </w:r>
    </w:p>
    <w:p>
      <w:pPr>
        <w:pStyle w:val="ListNumber"/>
      </w:pPr>
      <w:r>
        <w:t>Obtain explicit production approval (a manual gate, per the template's "approval" pipeline stage).</w:t>
      </w:r>
    </w:p>
    <w:p>
      <w:pPr>
        <w:pStyle w:val="ListNumber"/>
      </w:pPr>
      <w:r>
        <w:t>Deploy to production.</w:t>
      </w:r>
    </w:p>
    <w:p>
      <w:pPr>
        <w:pStyle w:val="ListNumber"/>
      </w:pPr>
      <w:r>
        <w:t xml:space="preserve">Verify: API health endpoint, database connectivity (already covered by the health check), reverse proxy/DNS resolution, and — once observability exists — that metrics/logs are flowing (see </w:t>
      </w:r>
      <w:hyperlink r:id="rId11">
        <w:r>
          <w:rPr>
            <w:color w:val="0563C1"/>
            <w:u w:val="single"/>
          </w:rPr>
          <w:t xml:space="preserve">`12-observability-and-monitoring.md`</w:t>
        </w:r>
      </w:hyperlink>
      <w:r>
        <w:t>).</w:t>
      </w:r>
    </w:p>
    <w:p>
      <w:pPr>
        <w:pStyle w:val="ListNumber"/>
      </w:pPr>
      <w:r>
        <w:t>Record the release version and any operational notes.</w:t>
      </w:r>
    </w:p>
    <w:p>
      <w:r>
        <w:t>Database migrations run as their own step immediately before the new application version starts serving traffic (</w:t>
      </w:r>
      <w:r>
        <w:rPr>
          <w:rFonts w:ascii="Consolas" w:hAnsi="Consolas"/>
          <w:sz w:val="20"/>
        </w:rPr>
        <w:t>prisma migrate deploy</w:t>
      </w:r>
      <w:r>
        <w:t xml:space="preserve"> against the target environment's </w:t>
      </w:r>
      <w:r>
        <w:rPr>
          <w:rFonts w:ascii="Consolas" w:hAnsi="Consolas"/>
          <w:sz w:val="20"/>
        </w:rPr>
        <w:t>DATABASE_URL</w:t>
      </w:r>
      <w:r>
        <w:t xml:space="preserve"> — note this is the non-interactive counterpart to the </w:t>
      </w:r>
      <w:r>
        <w:rPr>
          <w:rFonts w:ascii="Consolas" w:hAnsi="Consolas"/>
          <w:sz w:val="20"/>
        </w:rPr>
        <w:t>migrate dev</w:t>
      </w:r>
      <w:r>
        <w:t xml:space="preserve"> used locally).</w:t>
      </w:r>
    </w:p>
    <w:p>
      <w:pPr>
        <w:pStyle w:val="Heading2"/>
      </w:pPr>
      <w:r>
        <w:t>Rollback</w:t>
      </w:r>
    </w:p>
    <w:p>
      <w:r>
        <w:t xml:space="preserve">No rollback has ever been exercised, because nothing has been deployed. The template's rollback guidance (§23) is directly applicable once a deployment exists: on unacceptable impact, stop further rollout, preserve logs and deployment metadata, restore the previous known-good artifact, and run any required database rollback or forward-fix migration. Because </w:t>
      </w:r>
      <w:r>
        <w:rPr>
          <w:rFonts w:ascii="Consolas" w:hAnsi="Consolas"/>
          <w:sz w:val="20"/>
        </w:rPr>
        <w:t>CheckoutService</w:t>
      </w:r>
      <w:r>
        <w:t xml:space="preserve">, </w:t>
      </w:r>
      <w:r>
        <w:rPr>
          <w:rFonts w:ascii="Consolas" w:hAnsi="Consolas"/>
          <w:sz w:val="20"/>
        </w:rPr>
        <w:t>OrdersService</w:t>
      </w:r>
      <w:r>
        <w:t xml:space="preserve">'s status-transition logic, and the payroll </w:t>
      </w:r>
      <w:r>
        <w:rPr>
          <w:rFonts w:ascii="Consolas" w:hAnsi="Consolas"/>
          <w:sz w:val="20"/>
        </w:rPr>
        <w:t>run()</w:t>
      </w:r>
      <w:r>
        <w:t>/</w:t>
      </w:r>
      <w:r>
        <w:rPr>
          <w:rFonts w:ascii="Consolas" w:hAnsi="Consolas"/>
          <w:sz w:val="20"/>
        </w:rPr>
        <w:t>finalize()</w:t>
      </w:r>
      <w:r>
        <w:t xml:space="preserve"> split are all built around Prisma </w:t>
      </w:r>
      <w:r>
        <w:rPr>
          <w:rFonts w:ascii="Consolas" w:hAnsi="Consolas"/>
          <w:sz w:val="20"/>
        </w:rPr>
        <w:t>$transaction</w:t>
      </w:r>
      <w:r>
        <w:t xml:space="preserve">s specifically to keep partial writes from landing, a rollback's biggest real risk is a schema migration that isn't backward compatible with the </w:t>
      </w:r>
      <w:r>
        <w:rPr>
          <w:i/>
        </w:rPr>
        <w:t>previous</w:t>
      </w:r>
      <w:r>
        <w:t xml:space="preserve"> application version — expand/contract migration pattern (add nullable columns first, backfill, only then make them required in a later release) should be adopted once there's a production database whose downtime/rollback cost matters.</w:t>
      </w:r>
    </w:p>
    <w:p>
      <w:pPr>
        <w:pStyle w:val="Heading2"/>
      </w:pPr>
      <w:r>
        <w:t>Configuration management</w:t>
      </w:r>
    </w:p>
    <w:p>
      <w:pPr>
        <w:pStyle w:val="ListBullet"/>
      </w:pPr>
      <w:r>
        <w:t xml:space="preserve">All three apps read configuration from environment variables — </w:t>
      </w:r>
      <w:r>
        <w:rPr>
          <w:rFonts w:ascii="Consolas" w:hAnsi="Consolas"/>
          <w:sz w:val="20"/>
        </w:rPr>
        <w:t>apps/api</w:t>
      </w:r>
      <w:r>
        <w:t xml:space="preserve"> via </w:t>
      </w:r>
      <w:r>
        <w:rPr>
          <w:rFonts w:ascii="Consolas" w:hAnsi="Consolas"/>
          <w:sz w:val="20"/>
        </w:rPr>
        <w:t>@nestjs/config</w:t>
      </w:r>
      <w:r>
        <w:t xml:space="preserve"> (</w:t>
      </w:r>
      <w:r>
        <w:rPr>
          <w:rFonts w:ascii="Consolas" w:hAnsi="Consolas"/>
          <w:sz w:val="20"/>
        </w:rPr>
        <w:t>.env</w:t>
      </w:r>
      <w:r>
        <w:t xml:space="preserve"> + </w:t>
      </w:r>
      <w:r>
        <w:rPr>
          <w:rFonts w:ascii="Consolas" w:hAnsi="Consolas"/>
          <w:sz w:val="20"/>
        </w:rPr>
        <w:t>.env.example</w:t>
      </w:r>
      <w:r>
        <w:t xml:space="preserve">), the frontend apps via Next.js's built-in </w:t>
      </w:r>
      <w:r>
        <w:rPr>
          <w:rFonts w:ascii="Consolas" w:hAnsi="Consolas"/>
          <w:sz w:val="20"/>
        </w:rPr>
        <w:t>.env.local</w:t>
      </w:r>
      <w:r>
        <w:t xml:space="preserve"> support and </w:t>
      </w:r>
      <w:r>
        <w:rPr>
          <w:rFonts w:ascii="Consolas" w:hAnsi="Consolas"/>
          <w:sz w:val="20"/>
        </w:rPr>
        <w:t>NEXT_PUBLIC_*</w:t>
      </w:r>
      <w:r>
        <w:t xml:space="preserve"> (inlined into the browser bundle at build time). </w:t>
      </w:r>
      <w:r>
        <w:rPr>
          <w:rFonts w:ascii="Consolas" w:hAnsi="Consolas"/>
          <w:sz w:val="20"/>
        </w:rPr>
        <w:t>apps/storefront/.env.example</w:t>
      </w:r>
      <w:r>
        <w:t xml:space="preserve"> is the first frontend env file in the repo: </w:t>
      </w:r>
      <w:r>
        <w:rPr>
          <w:rFonts w:ascii="Consolas" w:hAnsi="Consolas"/>
          <w:sz w:val="20"/>
        </w:rPr>
        <w:t>NEXT_PUBLIC_API_URL</w:t>
      </w:r>
      <w:r>
        <w:t xml:space="preserve"> (optional — falls back to </w:t>
      </w:r>
      <w:r>
        <w:rPr>
          <w:rFonts w:ascii="Consolas" w:hAnsi="Consolas"/>
          <w:sz w:val="20"/>
        </w:rPr>
        <w:t>http://localhost:3000/api/v1</w:t>
      </w:r>
      <w:r>
        <w:t xml:space="preserve">) and </w:t>
      </w:r>
      <w:r>
        <w:rPr>
          <w:rFonts w:ascii="Consolas" w:hAnsi="Consolas"/>
          <w:sz w:val="20"/>
        </w:rPr>
        <w:t>NEXT_PUBLIC_GOOGLE_CLIENT_ID</w:t>
      </w:r>
      <w:r>
        <w:t xml:space="preserve"> (optional — must match the API's </w:t>
      </w:r>
      <w:r>
        <w:rPr>
          <w:rFonts w:ascii="Consolas" w:hAnsi="Consolas"/>
          <w:sz w:val="20"/>
        </w:rPr>
        <w:t>GOOGLE_CLIENT_ID</w:t>
      </w:r>
      <w:r>
        <w:t xml:space="preserve">, see </w:t>
      </w:r>
      <w:hyperlink r:id="rId12">
        <w:r>
          <w:rPr>
            <w:color w:val="0563C1"/>
            <w:u w:val="single"/>
          </w:rPr>
          <w:t xml:space="preserve">`07-authentication-and-authorization.md`</w:t>
        </w:r>
      </w:hyperlink>
      <w:r>
        <w:t xml:space="preserve">; </w:t>
      </w:r>
      <w:r>
        <w:rPr>
          <w:rFonts w:ascii="Consolas" w:hAnsi="Consolas"/>
          <w:sz w:val="20"/>
        </w:rPr>
        <w:t>GoogleSignInButton</w:t>
      </w:r>
      <w:r>
        <w:t xml:space="preserve"> just renders nothing if it's unset, so this is genuinely optional, not a silent breakage). </w:t>
      </w:r>
      <w:r>
        <w:rPr>
          <w:rFonts w:ascii="Consolas" w:hAnsi="Consolas"/>
          <w:sz w:val="20"/>
        </w:rPr>
        <w:t>apps/admin</w:t>
      </w:r>
      <w:r>
        <w:t xml:space="preserve"> still needs no build-time env var of its own.</w:t>
      </w:r>
    </w:p>
    <w:p>
      <w:pPr>
        <w:pStyle w:val="ListBullet"/>
      </w:pPr>
      <w:r>
        <w:t>No environment-specific code paths exist; the same build artifact should run in every environment, with only injected config differing — this is already true today (dev is just "the only environment configured so far," not a special code branch).</w:t>
      </w:r>
    </w:p>
    <w:p>
      <w:pPr>
        <w:pStyle w:val="ListBullet"/>
      </w:pPr>
      <w:r>
        <w:t xml:space="preserve">No configuration-drift detection exists (nothing like Ansible to compare desired vs. actual state) — not needed yet with a single environment; see </w:t>
      </w:r>
      <w:hyperlink r:id="rId13">
        <w:r>
          <w:rPr>
            <w:color w:val="0563C1"/>
            <w:u w:val="single"/>
          </w:rPr>
          <w:t xml:space="preserve">`17-infrastructure-platform-roadmap.md`</w:t>
        </w:r>
      </w:hyperlink>
      <w:r>
        <w:t xml:space="preserve"> for when Ansible would earn its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8-source-code-management-and-cicd.docx" TargetMode="External"/><Relationship Id="rId10" Type="http://schemas.openxmlformats.org/officeDocument/2006/relationships/hyperlink" Target="./09-containerization-and-environments.docx" TargetMode="External"/><Relationship Id="rId11" Type="http://schemas.openxmlformats.org/officeDocument/2006/relationships/hyperlink" Target="./12-observability-and-monitoring.docx" TargetMode="External"/><Relationship Id="rId12" Type="http://schemas.openxmlformats.org/officeDocument/2006/relationships/hyperlink" Target="./07-authentication-and-authorization.docx" TargetMode="External"/><Relationship Id="rId13" Type="http://schemas.openxmlformats.org/officeDocument/2006/relationships/hyperlink" Target="./17-infrastructure-platform-roadma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 Deployment Procedures and Configuration Management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