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13. Incident Response and Troubleshooting</w:t>
      </w:r>
    </w:p>
    <w:p>
      <w:r>
        <w:t>Adapts template §27 (Incident Management). No incident has ever occurred against this project (there is no deployed environment), so this document is a procedure to have ready, not a record of practice.</w:t>
      </w:r>
    </w:p>
    <w:p>
      <w:pPr>
        <w:pStyle w:val="Heading2"/>
      </w:pPr>
      <w:r>
        <w:t>Incident management steps (template §27, unchanged — this part of the template needs no adaptation)</w:t>
      </w:r>
    </w:p>
    <w:p>
      <w:pPr>
        <w:pStyle w:val="ListNumber"/>
      </w:pPr>
      <w:r>
        <w:t>Detect and acknowledge the incident.</w:t>
      </w:r>
    </w:p>
    <w:p>
      <w:pPr>
        <w:pStyle w:val="ListNumber"/>
      </w:pPr>
      <w:r>
        <w:t>Assess impact and identify affected services.</w:t>
      </w:r>
    </w:p>
    <w:p>
      <w:pPr>
        <w:pStyle w:val="ListNumber"/>
      </w:pPr>
      <w:r>
        <w:t>Contain the problem.</w:t>
      </w:r>
    </w:p>
    <w:p>
      <w:pPr>
        <w:pStyle w:val="ListNumber"/>
      </w:pPr>
      <w:r>
        <w:t>Restore service using rollback, failover, or recovery procedures.</w:t>
      </w:r>
    </w:p>
    <w:p>
      <w:pPr>
        <w:pStyle w:val="ListNumber"/>
      </w:pPr>
      <w:r>
        <w:t>Validate service health.</w:t>
      </w:r>
    </w:p>
    <w:p>
      <w:pPr>
        <w:pStyle w:val="ListNumber"/>
      </w:pPr>
      <w:r>
        <w:t>Document root cause and corrective actions.</w:t>
      </w:r>
    </w:p>
    <w:p>
      <w:pPr>
        <w:pStyle w:val="Heading2"/>
      </w:pPr>
      <w:r>
        <w:t>Detection, today</w:t>
      </w:r>
    </w:p>
    <w:p>
      <w:r>
        <w:t xml:space="preserve">There is no automated detection — no monitoring exists yet (see </w:t>
      </w:r>
      <w:hyperlink r:id="rId9">
        <w:r>
          <w:rPr>
            <w:color w:val="0563C1"/>
            <w:u w:val="single"/>
          </w:rPr>
          <w:t xml:space="preserve">`12-observability-and-monitoring.md`</w:t>
        </w:r>
      </w:hyperlink>
      <w:r>
        <w:t xml:space="preserve">). Until at least basic uptime monitoring exists, "detection" means a person noticing something is wrong, which is a real limitation to be explicit about: </w:t>
      </w:r>
      <w:r>
        <w:rPr>
          <w:b/>
        </w:rPr>
        <w:t>do not treat the absence of alerts as evidence of health</w:t>
      </w:r>
      <w:r>
        <w:t xml:space="preserve"> while this gap remains open.</w:t>
      </w:r>
    </w:p>
    <w:p>
      <w:pPr>
        <w:pStyle w:val="Heading2"/>
      </w:pPr>
      <w:r>
        <w:t>Local troubleshooting reference (today's actual environment)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Check</w:t>
            </w:r>
          </w:p>
        </w:tc>
      </w:tr>
      <w:tr>
        <w:tc>
          <w:tcPr>
            <w:tcW w:type="dxa" w:w="2880"/>
          </w:tcPr>
          <w:p>
            <w:r>
              <w:t>API won't start</w:t>
            </w:r>
          </w:p>
        </w:tc>
        <w:tc>
          <w:tcPr>
            <w:tcW w:type="dxa" w:w="2880"/>
          </w:tcPr>
          <w:p>
            <w:r>
              <w:t>Postgres/Redis containers not running, or wrong 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docker ps</w:t>
            </w:r>
            <w:r>
              <w:t xml:space="preserve"> — confirm </w:t>
            </w:r>
            <w:r>
              <w:rPr>
                <w:rFonts w:ascii="Consolas" w:hAnsi="Consolas"/>
                <w:sz w:val="20"/>
              </w:rPr>
              <w:t>5440</w:t>
            </w:r>
            <w:r>
              <w:t>/</w:t>
            </w:r>
            <w:r>
              <w:rPr>
                <w:rFonts w:ascii="Consolas" w:hAnsi="Consolas"/>
                <w:sz w:val="20"/>
              </w:rPr>
              <w:t>6380</w:t>
            </w:r>
            <w:r>
              <w:t xml:space="preserve"> are bound; </w:t>
            </w:r>
            <w:r>
              <w:rPr>
                <w:rFonts w:ascii="Consolas" w:hAnsi="Consolas"/>
                <w:sz w:val="20"/>
              </w:rPr>
              <w:t>docker compose up -d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500</w:t>
            </w:r>
            <w:r>
              <w:t xml:space="preserve"> on most endpoints, health check fails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DATABASE_URL</w:t>
            </w:r>
            <w:r>
              <w:t xml:space="preserve"> wrong, or migrations not applied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npm run prisma:migrate</w:t>
            </w:r>
            <w:r>
              <w:t xml:space="preserve">; verify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matches </w:t>
            </w:r>
            <w:r>
              <w:rPr>
                <w:rFonts w:ascii="Consolas" w:hAnsi="Consolas"/>
                <w:sz w:val="20"/>
              </w:rPr>
              <w:t>docker-compose.yml</w:t>
            </w:r>
            <w:r>
              <w:t xml:space="preserve"> credentials</w:t>
            </w:r>
          </w:p>
        </w:tc>
      </w:tr>
      <w:tr>
        <w:tc>
          <w:tcPr>
            <w:tcW w:type="dxa" w:w="2880"/>
          </w:tcPr>
          <w:p>
            <w:r>
              <w:t>Login works but every subsequent write 401s once, then works again</w:t>
            </w:r>
          </w:p>
        </w:tc>
        <w:tc>
          <w:tcPr>
            <w:tcW w:type="dxa" w:w="2880"/>
          </w:tcPr>
          <w:p>
            <w:r>
              <w:t xml:space="preserve">Access token expired mid-session — this is </w:t>
            </w:r>
            <w:r>
              <w:rPr>
                <w:rFonts w:ascii="Consolas" w:hAnsi="Consolas"/>
                <w:sz w:val="20"/>
              </w:rPr>
              <w:t>authedFetch()</w:t>
            </w:r>
            <w:r>
              <w:t xml:space="preserve">'s auto-refresh working as designed, not a bug (see </w:t>
            </w:r>
            <w:hyperlink r:id="rId10">
              <w:r>
                <w:rPr>
                  <w:color w:val="0563C1"/>
                  <w:u w:val="single"/>
                </w:rPr>
                <w:t xml:space="preserve">`05-frontend-architecture.md`</w:t>
              </w:r>
            </w:hyperlink>
            <w:r>
              <w:t>)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 customer can't reach data that should be theirs</w:t>
            </w:r>
          </w:p>
        </w:tc>
        <w:tc>
          <w:tcPr>
            <w:tcW w:type="dxa" w:w="2880"/>
          </w:tcPr>
          <w:p>
            <w:r>
              <w:t>Check ownership-scoping logic (</w:t>
            </w:r>
            <w:r>
              <w:rPr>
                <w:rFonts w:ascii="Consolas" w:hAnsi="Consolas"/>
                <w:sz w:val="20"/>
              </w:rPr>
              <w:t>findFirst({ id, userId })</w:t>
            </w:r>
            <w:r>
              <w:t>) on the specific module — this pattern is deliberate and tested; a regression here is a real bug worth flagging loudly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 xml:space="preserve">Admin write silently rolls back with a </w:t>
            </w:r>
            <w:r>
              <w:rPr>
                <w:rFonts w:ascii="Consolas" w:hAnsi="Consolas"/>
                <w:sz w:val="20"/>
              </w:rPr>
              <w:t>NotFoundException</w:t>
            </w:r>
            <w:r>
              <w:t xml:space="preserve"> immediately after a transactional create</w:t>
            </w:r>
          </w:p>
        </w:tc>
        <w:tc>
          <w:tcPr>
            <w:tcW w:type="dxa" w:w="2880"/>
          </w:tcPr>
          <w:p>
            <w:r>
              <w:t xml:space="preserve">The known </w:t>
            </w:r>
            <w:r>
              <w:rPr>
                <w:rFonts w:ascii="Consolas" w:hAnsi="Consolas"/>
                <w:sz w:val="20"/>
              </w:rPr>
              <w:t>getByIdForAdmin()</w:t>
            </w:r>
            <w:r>
              <w:t>/</w:t>
            </w:r>
            <w:r>
              <w:rPr>
                <w:rFonts w:ascii="Consolas" w:hAnsi="Consolas"/>
                <w:sz w:val="20"/>
              </w:rPr>
              <w:t>getById()</w:t>
            </w:r>
            <w:r>
              <w:t xml:space="preserve"> transaction-visibility gotcha — see </w:t>
            </w:r>
            <w:r>
              <w:rPr>
                <w:rFonts w:ascii="Consolas" w:hAnsi="Consolas"/>
                <w:sz w:val="20"/>
              </w:rPr>
              <w:t>CLAUDE.md</w:t>
            </w:r>
            <w:r>
              <w:t xml:space="preserve">'s Catalog/HR sections; the fix is passing </w:t>
            </w:r>
            <w:r>
              <w:rPr>
                <w:rFonts w:ascii="Consolas" w:hAnsi="Consolas"/>
                <w:sz w:val="20"/>
              </w:rPr>
              <w:t>tx</w:t>
            </w:r>
            <w:r>
              <w:t xml:space="preserve"> through, not adding a retry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 xml:space="preserve">CORS preflight fails on </w:t>
            </w:r>
            <w:r>
              <w:rPr>
                <w:rFonts w:ascii="Consolas" w:hAnsi="Consolas"/>
                <w:sz w:val="20"/>
              </w:rPr>
              <w:t>PATCH</w:t>
            </w:r>
            <w:r>
              <w:t>/</w:t>
            </w:r>
            <w:r>
              <w:rPr>
                <w:rFonts w:ascii="Consolas" w:hAnsi="Consolas"/>
                <w:sz w:val="20"/>
              </w:rPr>
              <w:t>PUT</w:t>
            </w:r>
            <w:r>
              <w:t>/</w:t>
            </w:r>
            <w:r>
              <w:rPr>
                <w:rFonts w:ascii="Consolas" w:hAnsi="Consolas"/>
                <w:sz w:val="20"/>
              </w:rPr>
              <w:t>DELETE</w:t>
            </w:r>
            <w:r>
              <w:t xml:space="preserve"> only</w:t>
            </w:r>
          </w:p>
        </w:tc>
        <w:tc>
          <w:tcPr>
            <w:tcW w:type="dxa" w:w="2880"/>
          </w:tcPr>
          <w:p>
            <w:r>
              <w:t xml:space="preserve">Someone reverted the explicit </w:t>
            </w:r>
            <w:r>
              <w:rPr>
                <w:rFonts w:ascii="Consolas" w:hAnsi="Consolas"/>
                <w:sz w:val="20"/>
              </w:rPr>
              <w:t>methods</w:t>
            </w:r>
            <w:r>
              <w:t xml:space="preserve"> list in </w:t>
            </w:r>
            <w:r>
              <w:rPr>
                <w:rFonts w:ascii="Consolas" w:hAnsi="Consolas"/>
                <w:sz w:val="20"/>
              </w:rPr>
              <w:t>main.ts</w:t>
            </w:r>
            <w:r>
              <w:t xml:space="preserve">'s </w:t>
            </w:r>
            <w:r>
              <w:rPr>
                <w:rFonts w:ascii="Consolas" w:hAnsi="Consolas"/>
                <w:sz w:val="20"/>
              </w:rPr>
              <w:t>enableCors()</w:t>
            </w:r>
            <w:r>
              <w:t xml:space="preserve"> — Fastify's CORS plugin defaults to </w:t>
            </w:r>
            <w:r>
              <w:rPr>
                <w:rFonts w:ascii="Consolas" w:hAnsi="Consolas"/>
                <w:sz w:val="20"/>
              </w:rPr>
              <w:t>GET,HEAD,POST</w:t>
            </w:r>
            <w:r>
              <w:t xml:space="preserve"> only</w:t>
            </w:r>
          </w:p>
        </w:tc>
        <w:tc>
          <w:tcPr>
            <w:tcW w:type="dxa" w:w="2880"/>
          </w:tcPr>
          <w:p/>
        </w:tc>
      </w:tr>
    </w:tbl>
    <w:p>
      <w:pPr>
        <w:pStyle w:val="Heading2"/>
      </w:pPr>
      <w:r>
        <w:t>Recommended incident severity framing (once production exists)</w:t>
      </w:r>
    </w:p>
    <w:p>
      <w:r>
        <w:t>Not yet defined — worth setting before go-live rather than during a live incident:</w:t>
      </w:r>
    </w:p>
    <w:p>
      <w:pPr>
        <w:pStyle w:val="ListBullet"/>
      </w:pPr>
      <w:r>
        <w:rPr>
          <w:b/>
        </w:rPr>
        <w:t>SEV1</w:t>
      </w:r>
      <w:r>
        <w:t>: checkout or login fully unavailable, or data integrity at risk (e.g. a transaction failure that could double-decrement inventory or double-pay payroll).</w:t>
      </w:r>
    </w:p>
    <w:p>
      <w:pPr>
        <w:pStyle w:val="ListBullet"/>
      </w:pPr>
      <w:r>
        <w:rPr>
          <w:b/>
        </w:rPr>
        <w:t>SEV2</w:t>
      </w:r>
      <w:r>
        <w:t>: a single non-critical module degraded (e.g. CMS writes failing) with a workaround available.</w:t>
      </w:r>
    </w:p>
    <w:p>
      <w:pPr>
        <w:pStyle w:val="ListBullet"/>
      </w:pPr>
      <w:r>
        <w:rPr>
          <w:b/>
        </w:rPr>
        <w:t>SEV3</w:t>
      </w:r>
      <w:r>
        <w:t>: cosmetic or low-traffic-path issue.</w:t>
      </w:r>
    </w:p>
    <w:p>
      <w:r>
        <w:t>Assign an owner and expected response time per severity when this is formalized — deferred here since setting SLAs without a production environment or on-call rotation to hold them would be aspirational rather than real.</w:t>
      </w:r>
    </w:p>
    <w:p>
      <w:pPr>
        <w:pStyle w:val="Heading2"/>
      </w:pPr>
      <w:r>
        <w:t>Escalation</w:t>
      </w:r>
    </w:p>
    <w:p>
      <w:r>
        <w:t xml:space="preserve">No on-call rotation or escalation path exists — the project currently has a small, known set of staff accounts (see seed data in </w:t>
      </w:r>
      <w:hyperlink r:id="rId11">
        <w:r>
          <w:rPr>
            <w:color w:val="0563C1"/>
            <w:u w:val="single"/>
          </w:rPr>
          <w:t xml:space="preserve">`03-database-design.md`</w:t>
        </w:r>
      </w:hyperlink>
      <w:r>
        <w:t>); incident response today means contacting the project owner directly. Formalize this once the team or user base grows past what direct contact can handle.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2-observability-and-monitoring.docx" TargetMode="External"/><Relationship Id="rId10" Type="http://schemas.openxmlformats.org/officeDocument/2006/relationships/hyperlink" Target="./05-frontend-architecture.docx" TargetMode="External"/><Relationship Id="rId11" Type="http://schemas.openxmlformats.org/officeDocument/2006/relationships/hyperlink" Target="./03-database-desig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 Incident Response and Troubleshooting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