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23. Data Dictionary</w:t>
      </w:r>
    </w:p>
    <w:p>
      <w:r>
        <w:t xml:space="preserve">Full field-by-field reference for every model and enum in </w:t>
      </w:r>
      <w:r>
        <w:rPr>
          <w:rFonts w:ascii="Consolas" w:hAnsi="Consolas"/>
          <w:sz w:val="20"/>
        </w:rPr>
        <w:t>apps/api/prisma/schema.prisma</w:t>
      </w:r>
      <w:r>
        <w:t xml:space="preserve">, grouped by the same domain sections as </w:t>
      </w:r>
      <w:hyperlink r:id="rId9">
        <w:r>
          <w:rPr>
            <w:color w:val="0563C1"/>
            <w:u w:val="single"/>
          </w:rPr>
          <w:t xml:space="preserve">`03-database-design.md`</w:t>
        </w:r>
      </w:hyperlink>
      <w:r>
        <w:t xml:space="preserve">'s schema-inventory table. See also </w:t>
      </w:r>
      <w:hyperlink r:id="rId10">
        <w:r>
          <w:rPr>
            <w:color w:val="0563C1"/>
            <w:u w:val="single"/>
          </w:rPr>
          <w:t xml:space="preserve">`22-entity-relationship-diagram.md`</w:t>
        </w:r>
      </w:hyperlink>
      <w:r>
        <w:t xml:space="preserve"> for how these models relate to each other.</w:t>
      </w:r>
    </w:p>
    <w:p>
      <w:r>
        <w:rPr>
          <w:b/>
        </w:rPr>
        <w:t>Freshness note</w:t>
      </w:r>
      <w:r>
        <w:t xml:space="preserve">: generated against commit </w:t>
      </w:r>
      <w:r>
        <w:rPr>
          <w:rFonts w:ascii="Consolas" w:hAnsi="Consolas"/>
          <w:sz w:val="20"/>
        </w:rPr>
        <w:t>3b5fc6a</w:t>
      </w:r>
      <w:r>
        <w:t xml:space="preserve"> (2026-08-16) — a point-in-time artifact, not auto-synced to the live schema; treat any discrepancy with the current </w:t>
      </w:r>
      <w:r>
        <w:rPr>
          <w:rFonts w:ascii="Consolas" w:hAnsi="Consolas"/>
          <w:sz w:val="20"/>
        </w:rPr>
        <w:t>schema.prisma</w:t>
      </w:r>
      <w:r>
        <w:t xml:space="preserve"> as this document having drifted, not the code being wrong.</w:t>
      </w:r>
    </w:p>
    <w:p>
      <w:r>
        <w:rPr>
          <w:b/>
        </w:rPr>
        <w:t>Conventions used throughout</w:t>
      </w:r>
      <w:r>
        <w:t xml:space="preserve"> (see </w:t>
      </w:r>
      <w:r>
        <w:rPr>
          <w:rFonts w:ascii="Consolas" w:hAnsi="Consolas"/>
          <w:sz w:val="20"/>
        </w:rPr>
        <w:t>schema.prisma</w:t>
      </w:r>
      <w:r>
        <w:t xml:space="preserve">'s own header comment and </w:t>
      </w:r>
      <w:r>
        <w:rPr>
          <w:rFonts w:ascii="Consolas" w:hAnsi="Consolas"/>
          <w:sz w:val="20"/>
        </w:rPr>
        <w:t>CLAUDE.md</w:t>
      </w:r>
      <w:r>
        <w:t>): every primary key is a client-generated UUID (</w:t>
      </w:r>
      <w:r>
        <w:rPr>
          <w:rFonts w:ascii="Consolas" w:hAnsi="Consolas"/>
          <w:sz w:val="20"/>
        </w:rPr>
        <w:t>id String @id @default(uuid())</w:t>
      </w:r>
      <w:r>
        <w:t xml:space="preserve">, omitted from "Notes" below unless it deviates); every </w:t>
      </w:r>
      <w:r>
        <w:rPr>
          <w:rFonts w:ascii="Consolas" w:hAnsi="Consolas"/>
          <w:sz w:val="20"/>
        </w:rPr>
        <w:t>DateTime</w:t>
      </w:r>
      <w:r>
        <w:t xml:space="preserve"> is stored </w:t>
      </w:r>
      <w:r>
        <w:rPr>
          <w:rFonts w:ascii="Consolas" w:hAnsi="Consolas"/>
          <w:sz w:val="20"/>
        </w:rPr>
        <w:t>@db.Timestamptz(3)</w:t>
      </w:r>
      <w:r>
        <w:t xml:space="preserve"> (UTC, never a timezone-naive </w:t>
      </w:r>
      <w:r>
        <w:rPr>
          <w:rFonts w:ascii="Consolas" w:hAnsi="Consolas"/>
          <w:sz w:val="20"/>
        </w:rPr>
        <w:t>timestamp</w:t>
      </w:r>
      <w:r>
        <w:t xml:space="preserve">); non-unique </w:t>
      </w:r>
      <w:r>
        <w:rPr>
          <w:rFonts w:ascii="Consolas" w:hAnsi="Consolas"/>
          <w:sz w:val="20"/>
        </w:rPr>
        <w:t>@@index</w:t>
      </w:r>
      <w:r>
        <w:t xml:space="preserve"> blocks exist on every foreign key not already covered by a </w:t>
      </w:r>
      <w:r>
        <w:rPr>
          <w:rFonts w:ascii="Consolas" w:hAnsi="Consolas"/>
          <w:sz w:val="20"/>
        </w:rPr>
        <w:t>@unique</w:t>
      </w:r>
      <w:r>
        <w:t>/</w:t>
      </w:r>
      <w:r>
        <w:rPr>
          <w:rFonts w:ascii="Consolas" w:hAnsi="Consolas"/>
          <w:sz w:val="20"/>
        </w:rPr>
        <w:t>@@unique</w:t>
      </w:r>
      <w:r>
        <w:t xml:space="preserve"> (Postgres doesn't add these automatically, unlike some other connectors) — index annotations are not repeated per-field below unless they're compound/notable.</w:t>
      </w:r>
    </w:p>
    <w:p>
      <w:pPr>
        <w:pStyle w:val="Heading2"/>
      </w:pPr>
      <w:r>
        <w:t>Identity &amp; auth</w:t>
      </w:r>
    </w:p>
    <w:p>
      <w:pPr>
        <w:pStyle w:val="Heading3"/>
      </w:pPr>
      <w:r>
        <w:t>User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  <w:r>
              <w:t xml:space="preserve">; nulled on delete (see </w:t>
            </w:r>
            <w:r>
              <w:rPr>
                <w:rFonts w:ascii="Consolas" w:hAnsi="Consolas"/>
                <w:sz w:val="20"/>
              </w:rPr>
              <w:t>deletedAt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  <w:r>
              <w:t>; nulled on delete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preferredName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avatarUrl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Pasted image URL — no upload/object-storage pipeline</w:t>
            </w:r>
          </w:p>
        </w:tc>
      </w:tr>
      <w:tr>
        <w:tc>
          <w:tcPr>
            <w:tcW w:type="dxa" w:w="1728"/>
          </w:tcPr>
          <w:p>
            <w:r>
              <w:t>passwordHash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Null for a Google-only account, or once deleted</w:t>
            </w:r>
          </w:p>
        </w:tc>
      </w:tr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UserRole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CustomerTier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dateOfBirth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wellnessPreferences</w:t>
            </w:r>
          </w:p>
        </w:tc>
        <w:tc>
          <w:tcPr>
            <w:tcW w:type="dxa" w:w="1728"/>
          </w:tcPr>
          <w:p>
            <w:r>
              <w:t>String[]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[]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twoFactorEnabled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TOTP 2FA, enforced at login</w:t>
            </w:r>
          </w:p>
        </w:tc>
      </w:tr>
      <w:tr>
        <w:tc>
          <w:tcPr>
            <w:tcW w:type="dxa" w:w="1728"/>
          </w:tcPr>
          <w:p>
            <w:r>
              <w:t>twoFactorSecret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Encrypted at rest (AES-256-GCM) — verifying TOTP needs it back, so it can't be one-way hashed</w:t>
            </w:r>
          </w:p>
        </w:tc>
      </w:tr>
      <w:tr>
        <w:tc>
          <w:tcPr>
            <w:tcW w:type="dxa" w:w="1728"/>
          </w:tcPr>
          <w:p>
            <w:r>
              <w:t>biometricEnabled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True once ≥1 WebAuthnCredential exists</w:t>
            </w:r>
          </w:p>
        </w:tc>
      </w:tr>
      <w:tr>
        <w:tc>
          <w:tcPr>
            <w:tcW w:type="dxa" w:w="1728"/>
          </w:tcPr>
          <w:p>
            <w:r>
              <w:t>notifyOrderUpdatesSms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notifyOrderUpdatesEmail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notifyPromotions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notifyPush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notifyLoginAlerts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Delivered in-app only, no SMS/email provider</w:t>
            </w:r>
          </w:p>
        </w:tc>
      </w:tr>
      <w:tr>
        <w:tc>
          <w:tcPr>
            <w:tcW w:type="dxa" w:w="1728"/>
          </w:tcPr>
          <w:p>
            <w:r>
              <w:t>mustChangePassword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 xml:space="preserve">Set on staff temp-password issuance; enforced globally by </w:t>
            </w:r>
            <w:r>
              <w:rPr>
                <w:rFonts w:ascii="Consolas" w:hAnsi="Consolas"/>
                <w:sz w:val="20"/>
              </w:rPr>
              <w:t>MustChangePasswordGuard</w:t>
            </w:r>
          </w:p>
        </w:tc>
      </w:tr>
      <w:tr>
        <w:tc>
          <w:tcPr>
            <w:tcW w:type="dxa" w:w="1728"/>
          </w:tcPr>
          <w:p>
            <w:r>
              <w:t>emailVerifiedAt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Set once registration OTP (email) is confirmed</w:t>
            </w:r>
          </w:p>
        </w:tc>
      </w:tr>
      <w:tr>
        <w:tc>
          <w:tcPr>
            <w:tcW w:type="dxa" w:w="1728"/>
          </w:tcPr>
          <w:p>
            <w:r>
              <w:t>phoneVerifiedAt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Set once registration OTP (SMS) is confirmed — SMS verification is temporarily excluded from the registration/login gate (sandbox-only Africa's Talking credentials), so this stays unset for most accounts today</w:t>
            </w:r>
          </w:p>
        </w:tc>
      </w:tr>
      <w:tr>
        <w:tc>
          <w:tcPr>
            <w:tcW w:type="dxa" w:w="1728"/>
          </w:tcPr>
          <w:p>
            <w:r>
              <w:t>googleId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  <w:r>
              <w:t>; set on first Google sign-in</w:t>
            </w:r>
          </w:p>
        </w:tc>
      </w:tr>
      <w:tr>
        <w:tc>
          <w:tcPr>
            <w:tcW w:type="dxa" w:w="1728"/>
          </w:tcPr>
          <w:p>
            <w:r>
              <w:t>suspendedAt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Admin-triggered, reversible hold — see </w:t>
            </w:r>
            <w:r>
              <w:rPr>
                <w:rFonts w:ascii="Consolas" w:hAnsi="Consolas"/>
                <w:sz w:val="20"/>
              </w:rPr>
              <w:t>CrmService.suspend()</w:t>
            </w:r>
            <w:r>
              <w:t xml:space="preserve">. Blocks login at </w:t>
            </w:r>
            <w:r>
              <w:rPr>
                <w:rFonts w:ascii="Consolas" w:hAnsi="Consolas"/>
                <w:sz w:val="20"/>
              </w:rPr>
              <w:t>completeLogin()</w:t>
            </w:r>
          </w:p>
        </w:tc>
      </w:tr>
      <w:tr>
        <w:tc>
          <w:tcPr>
            <w:tcW w:type="dxa" w:w="1728"/>
          </w:tcPr>
          <w:p>
            <w:r>
              <w:t>suspensionReason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Free text, shown in the admin audit log</w:t>
            </w:r>
          </w:p>
        </w:tc>
      </w:tr>
      <w:tr>
        <w:tc>
          <w:tcPr>
            <w:tcW w:type="dxa" w:w="1728"/>
          </w:tcPr>
          <w:p>
            <w:r>
              <w:t>deletedAt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Terminal — FR-17.4. Row survives, PII scrubbed</w:t>
            </w:r>
          </w:p>
        </w:tc>
      </w:tr>
      <w:tr>
        <w:tc>
          <w:tcPr>
            <w:tcW w:type="dxa" w:w="1728"/>
          </w:tcPr>
          <w:p>
            <w:r>
              <w:t>driverStatus</w:t>
            </w:r>
          </w:p>
        </w:tc>
        <w:tc>
          <w:tcPr>
            <w:tcW w:type="dxa" w:w="1728"/>
          </w:tcPr>
          <w:p>
            <w:r>
              <w:t>DriverStatus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OFFLINE</w:t>
            </w:r>
          </w:p>
        </w:tc>
        <w:tc>
          <w:tcPr>
            <w:tcW w:type="dxa" w:w="1728"/>
          </w:tcPr>
          <w:p>
            <w:r>
              <w:t xml:space="preserve">Added commit </w:t>
            </w:r>
            <w:r>
              <w:rPr>
                <w:rFonts w:ascii="Consolas" w:hAnsi="Consolas"/>
                <w:sz w:val="20"/>
              </w:rPr>
              <w:t>445a258</w:t>
            </w:r>
            <w:r>
              <w:t xml:space="preserve"> — only meaningful for </w:t>
            </w:r>
            <w:r>
              <w:rPr>
                <w:rFonts w:ascii="Consolas" w:hAnsi="Consolas"/>
                <w:sz w:val="20"/>
              </w:rPr>
              <w:t>role: DRIVER</w:t>
            </w:r>
            <w:r>
              <w:t xml:space="preserve">; self-reported via </w:t>
            </w:r>
            <w:r>
              <w:rPr>
                <w:rFonts w:ascii="Consolas" w:hAnsi="Consolas"/>
                <w:sz w:val="20"/>
              </w:rPr>
              <w:t>PATCH /driver/status</w:t>
            </w:r>
            <w:r>
              <w:t xml:space="preserve">, never derived from the driver's own </w:t>
            </w:r>
            <w:r>
              <w:rPr>
                <w:rFonts w:ascii="Consolas" w:hAnsi="Consolas"/>
                <w:sz w:val="20"/>
              </w:rPr>
              <w:t>Delivery</w:t>
            </w:r>
            <w:r>
              <w:t xml:space="preserve"> rows</w:t>
            </w:r>
          </w:p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@updatedAt</w:t>
            </w:r>
          </w:p>
        </w:tc>
      </w:tr>
    </w:tbl>
    <w:p>
      <w:pPr>
        <w:pStyle w:val="Heading3"/>
      </w:pPr>
      <w:r>
        <w:t>RefreshToken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User, Cascade</w:t>
            </w:r>
          </w:p>
        </w:tc>
      </w:tr>
      <w:tr>
        <w:tc>
          <w:tcPr>
            <w:tcW w:type="dxa" w:w="1728"/>
          </w:tcPr>
          <w:p>
            <w:r>
              <w:t>tokenHash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sha256</w:t>
            </w:r>
            <w:r>
              <w:t>, not bcrypt — bcrypt truncates at 72 bytes and these JWTs share a long common prefix per-user, which silently defeated rotation/revocation before this was caught</w:t>
            </w:r>
          </w:p>
        </w:tc>
      </w:tr>
      <w:tr>
        <w:tc>
          <w:tcPr>
            <w:tcW w:type="dxa" w:w="1728"/>
          </w:tcPr>
          <w:p>
            <w:r>
              <w:t>expiresAt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revokedAt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Set on logout, refresh (rotation), or admin suspend/delete</w:t>
            </w:r>
          </w:p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@@index([userId, revokedAt])</w:t>
            </w:r>
            <w:r>
              <w:t xml:space="preserve"> matches </w:t>
            </w:r>
            <w:r>
              <w:rPr>
                <w:rFonts w:ascii="Consolas" w:hAnsi="Consolas"/>
                <w:sz w:val="20"/>
              </w:rPr>
              <w:t>refresh()</w:t>
            </w:r>
            <w:r>
              <w:t>'s lookup</w:t>
            </w:r>
          </w:p>
        </w:tc>
      </w:tr>
    </w:tbl>
    <w:p>
      <w:pPr>
        <w:pStyle w:val="Heading3"/>
      </w:pPr>
      <w:r>
        <w:t>WebAuthnCredential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User, Cascade</w:t>
            </w:r>
          </w:p>
        </w:tc>
      </w:tr>
      <w:tr>
        <w:tc>
          <w:tcPr>
            <w:tcW w:type="dxa" w:w="1728"/>
          </w:tcPr>
          <w:p>
            <w:r>
              <w:t>credentialId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</w:p>
        </w:tc>
      </w:tr>
      <w:tr>
        <w:tc>
          <w:tcPr>
            <w:tcW w:type="dxa" w:w="1728"/>
          </w:tcPr>
          <w:p>
            <w:r>
              <w:t>publicKey</w:t>
            </w:r>
          </w:p>
        </w:tc>
        <w:tc>
          <w:tcPr>
            <w:tcW w:type="dxa" w:w="1728"/>
          </w:tcPr>
          <w:p>
            <w:r>
              <w:t>Bytes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Never anything biometric itself — that never leaves the device</w:t>
            </w:r>
          </w:p>
        </w:tc>
      </w:tr>
      <w:tr>
        <w:tc>
          <w:tcPr>
            <w:tcW w:type="dxa" w:w="1728"/>
          </w:tcPr>
          <w:p>
            <w:r>
              <w:t>counter</w:t>
            </w:r>
          </w:p>
        </w:tc>
        <w:tc>
          <w:tcPr>
            <w:tcW w:type="dxa" w:w="1728"/>
          </w:tcPr>
          <w:p>
            <w:r>
              <w:t>BigInt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Anti-replay counter</w:t>
            </w:r>
          </w:p>
        </w:tc>
      </w:tr>
      <w:tr>
        <w:tc>
          <w:tcPr>
            <w:tcW w:type="dxa" w:w="1728"/>
          </w:tcPr>
          <w:p>
            <w:r>
              <w:t>deviceLabel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lastUsedAt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LoginEvent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User, Cascade</w:t>
            </w:r>
          </w:p>
        </w:tc>
      </w:tr>
      <w:tr>
        <w:tc>
          <w:tcPr>
            <w:tcW w:type="dxa" w:w="1728"/>
          </w:tcPr>
          <w:p>
            <w:r>
              <w:t>ipAddress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userAgent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isNewDevice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>Lightweight (ip, userAgent) fingerprint match, not rigorous device identity</w:t>
            </w:r>
          </w:p>
        </w:tc>
      </w:tr>
      <w:tr>
        <w:tc>
          <w:tcPr>
            <w:tcW w:type="dxa" w:w="1728"/>
          </w:tcPr>
          <w:p>
            <w:r>
              <w:t>acknowledgedAt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Dismissal of the in-app alert banner</w:t>
            </w:r>
          </w:p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>
            <w:r>
              <w:t>One row per completed login (not token refresh)</w:t>
            </w:r>
          </w:p>
        </w:tc>
      </w:tr>
    </w:tbl>
    <w:p>
      <w:pPr>
        <w:pStyle w:val="Heading3"/>
      </w:pPr>
      <w:r>
        <w:t>OtpCode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User, Cascade</w:t>
            </w:r>
          </w:p>
        </w:tc>
      </w:tr>
      <w:tr>
        <w:tc>
          <w:tcPr>
            <w:tcW w:type="dxa" w:w="1728"/>
          </w:tcPr>
          <w:p>
            <w:r>
              <w:t>channel</w:t>
            </w:r>
          </w:p>
        </w:tc>
        <w:tc>
          <w:tcPr>
            <w:tcW w:type="dxa" w:w="1728"/>
          </w:tcPr>
          <w:p>
            <w:r>
              <w:t>OtpChannel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EMAIL or SMS</w:t>
            </w:r>
          </w:p>
        </w:tc>
      </w:tr>
      <w:tr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OtpPurpose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REGISTRATION</w:t>
            </w:r>
          </w:p>
        </w:tc>
        <w:tc>
          <w:tcPr>
            <w:tcW w:type="dxa" w:w="1728"/>
          </w:tcPr>
          <w:p>
            <w:r>
              <w:t>Only value in use today</w:t>
            </w:r>
          </w:p>
        </w:tc>
      </w:tr>
      <w:tr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Snapshot of the email/phone at issue time, not a live join to User</w:t>
            </w:r>
          </w:p>
        </w:tc>
      </w:tr>
      <w:tr>
        <w:tc>
          <w:tcPr>
            <w:tcW w:type="dxa" w:w="1728"/>
          </w:tcPr>
          <w:p>
            <w:r>
              <w:t>codeHash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sha256</w:t>
            </w:r>
            <w:r>
              <w:t xml:space="preserve">, same convention as </w:t>
            </w:r>
            <w:r>
              <w:rPr>
                <w:rFonts w:ascii="Consolas" w:hAnsi="Consolas"/>
                <w:sz w:val="20"/>
              </w:rPr>
              <w:t>RefreshToken.tokenHash</w:t>
            </w:r>
          </w:p>
        </w:tc>
      </w:tr>
      <w:tr>
        <w:tc>
          <w:tcPr>
            <w:tcW w:type="dxa" w:w="1728"/>
          </w:tcPr>
          <w:p>
            <w:r>
              <w:t>attempts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Locks out at 5</w:t>
            </w:r>
          </w:p>
        </w:tc>
      </w:tr>
      <w:tr>
        <w:tc>
          <w:tcPr>
            <w:tcW w:type="dxa" w:w="1728"/>
          </w:tcPr>
          <w:p>
            <w:r>
              <w:t>consumedAt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expiresAt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OTP_TTL_MINUTES</w:t>
            </w:r>
            <w:r>
              <w:t>, default 10</w:t>
            </w:r>
          </w:p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@@index([userId, channel, purpose])</w:t>
            </w:r>
          </w:p>
        </w:tc>
      </w:tr>
    </w:tbl>
    <w:p>
      <w:pPr>
        <w:pStyle w:val="Heading3"/>
      </w:pPr>
      <w:r>
        <w:t>Notification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User, Cascade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NotificationType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Only </w:t>
            </w:r>
            <w:r>
              <w:rPr>
                <w:rFonts w:ascii="Consolas" w:hAnsi="Consolas"/>
                <w:sz w:val="20"/>
              </w:rPr>
              <w:t>NEWSLETTER</w:t>
            </w:r>
            <w:r>
              <w:t xml:space="preserve"> in use — deliberately generic for future reuse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linkUrl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readAt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t>Customer account</w:t>
      </w:r>
    </w:p>
    <w:p>
      <w:pPr>
        <w:pStyle w:val="Heading3"/>
      </w:pPr>
      <w:r>
        <w:t>Address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User, Cascade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recipient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line1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city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"Kampala"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phone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AddressType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SHIPPING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isDefault</w:t>
            </w:r>
            <w:r>
              <w:t xml:space="preserve"> is scoped per type — one default shipping, one default billing</w:t>
            </w:r>
          </w:p>
        </w:tc>
      </w:tr>
      <w:tr>
        <w:tc>
          <w:tcPr>
            <w:tcW w:type="dxa" w:w="1728"/>
          </w:tcPr>
          <w:p>
            <w:r>
              <w:t>isDefault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PaymentMethod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User, Cascade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PaymentMethodType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Only </w:t>
            </w:r>
            <w:r>
              <w:rPr>
                <w:rFonts w:ascii="Consolas" w:hAnsi="Consolas"/>
                <w:sz w:val="20"/>
              </w:rPr>
              <w:t>MOBILE_MONEY</w:t>
            </w:r>
            <w:r>
              <w:t xml:space="preserve"> fully supported; </w:t>
            </w:r>
            <w:r>
              <w:rPr>
                <w:rFonts w:ascii="Consolas" w:hAnsi="Consolas"/>
                <w:sz w:val="20"/>
              </w:rPr>
              <w:t>CARD</w:t>
            </w:r>
            <w:r>
              <w:t xml:space="preserve"> rejected with 501</w:t>
            </w:r>
          </w:p>
        </w:tc>
      </w:tr>
      <w:tr>
        <w:tc>
          <w:tcPr>
            <w:tcW w:type="dxa" w:w="1728"/>
          </w:tcPr>
          <w:p>
            <w:r>
              <w:t>maskedIdentifier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gatewayToken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Never a raw card number — no PCI-DSS gateway</w:t>
            </w:r>
          </w:p>
        </w:tc>
      </w:tr>
      <w:tr>
        <w:tc>
          <w:tcPr>
            <w:tcW w:type="dxa" w:w="1728"/>
          </w:tcPr>
          <w:p>
            <w:r>
              <w:t>isDefault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 xml:space="preserve">Single flag across all of a user's methods (unlike </w:t>
            </w:r>
            <w:r>
              <w:rPr>
                <w:rFonts w:ascii="Consolas" w:hAnsi="Consolas"/>
                <w:sz w:val="20"/>
              </w:rPr>
              <w:t>Address.isDefault</w:t>
            </w:r>
            <w:r>
              <w:t>)</w:t>
            </w:r>
          </w:p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t>Catalog</w:t>
      </w:r>
    </w:p>
    <w:p>
      <w:pPr>
        <w:pStyle w:val="Heading3"/>
      </w:pPr>
      <w:r>
        <w:t>ProductLine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</w:p>
        </w:tc>
      </w:tr>
      <w:tr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</w:p>
        </w:tc>
      </w:tr>
      <w:tr>
        <w:tc>
          <w:tcPr>
            <w:tcW w:type="dxa" w:w="1728"/>
          </w:tcPr>
          <w:p>
            <w:r>
              <w:t>unitSize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WellnessTag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</w:p>
        </w:tc>
      </w:tr>
    </w:tbl>
    <w:p>
      <w:pPr>
        <w:pStyle w:val="Heading3"/>
      </w:pPr>
      <w:r>
        <w:t>Product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sku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</w:p>
        </w:tc>
      </w:tr>
      <w:tr>
        <w:tc>
          <w:tcPr>
            <w:tcW w:type="dxa" w:w="1728"/>
          </w:tcPr>
          <w:p>
            <w:r>
              <w:t>productLineId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ProductLine</w:t>
            </w:r>
          </w:p>
        </w:tc>
      </w:tr>
      <w:tr>
        <w:tc>
          <w:tcPr>
            <w:tcW w:type="dxa" w:w="1728"/>
          </w:tcPr>
          <w:p>
            <w:r>
              <w:t>priceUgx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vendorId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Vendor; null = ChrisPa's own product</w:t>
            </w:r>
          </w:p>
        </w:tc>
      </w:tr>
      <w:tr>
        <w:tc>
          <w:tcPr>
            <w:tcW w:type="dxa" w:w="1728"/>
          </w:tcPr>
          <w:p>
            <w:r>
              <w:t>costUgx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COGS basis; null skips COGS posting rather than assuming zero cost</w:t>
            </w:r>
          </w:p>
        </w:tc>
      </w:tr>
      <w:tr>
        <w:tc>
          <w:tcPr>
            <w:tcW w:type="dxa" w:w="1728"/>
          </w:tcPr>
          <w:p>
            <w:r>
              <w:t>stockQty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Denormalized read cache</w:t>
            </w:r>
            <w:r>
              <w:t xml:space="preserve"> — </w:t>
            </w:r>
            <w:r>
              <w:rPr>
                <w:rFonts w:ascii="Consolas" w:hAnsi="Consolas"/>
                <w:sz w:val="20"/>
              </w:rPr>
              <w:t>InventoryRecord</w:t>
            </w:r>
            <w:r>
              <w:t xml:space="preserve"> is the source of truth; nothing keeps this in sync automatically yet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ProductStatus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  <w:tc>
          <w:tcPr>
            <w:tcW w:type="dxa" w:w="1728"/>
          </w:tcPr>
          <w:p>
            <w:r>
              <w:t>Archive, never hard-delete, once real order history exists</w:t>
            </w:r>
          </w:p>
        </w:tc>
      </w:tr>
      <w:tr>
        <w:tc>
          <w:tcPr>
            <w:tcW w:type="dxa" w:w="1728"/>
          </w:tcPr>
          <w:p>
            <w:r>
              <w:t>scentOrFlavorNotes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directions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healthBenefits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seoTitle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seoMeta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@@index([productLineId])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@@index([status, productLineId])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@@index([vendorId])</w:t>
            </w:r>
          </w:p>
        </w:tc>
      </w:tr>
    </w:tbl>
    <w:p>
      <w:pPr>
        <w:pStyle w:val="Heading3"/>
      </w:pPr>
      <w:r>
        <w:t>ProductWellnessTag</w:t>
      </w:r>
    </w:p>
    <w:p>
      <w:r>
        <w:t xml:space="preserve">Join table. Composite PK </w:t>
      </w:r>
      <w:r>
        <w:rPr>
          <w:rFonts w:ascii="Consolas" w:hAnsi="Consolas"/>
          <w:sz w:val="20"/>
        </w:rPr>
        <w:t>(productId, wellnessTagId)</w:t>
      </w:r>
      <w:r>
        <w:t>, both Cascade.</w:t>
      </w:r>
    </w:p>
    <w:p>
      <w:pPr>
        <w:pStyle w:val="Heading3"/>
      </w:pPr>
      <w:r>
        <w:t>ProductMedia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Product, Cascade</w:t>
            </w:r>
          </w:p>
        </w:tc>
      </w:tr>
      <w:tr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Real upload (</w:t>
            </w:r>
            <w:r>
              <w:rPr>
                <w:rFonts w:ascii="Consolas" w:hAnsi="Consolas"/>
                <w:sz w:val="20"/>
              </w:rPr>
              <w:t>POST /admin/products/media/upload</w:t>
            </w:r>
            <w:r>
              <w:t>), local disk, no CDN</w:t>
            </w:r>
          </w:p>
        </w:tc>
      </w:tr>
      <w:tr>
        <w:tc>
          <w:tcPr>
            <w:tcW w:type="dxa" w:w="1728"/>
          </w:tcPr>
          <w:p>
            <w:r>
              <w:t>sortOrder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Variant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Product, Cascade</w:t>
            </w:r>
          </w:p>
        </w:tc>
      </w:tr>
      <w:tr>
        <w:tc>
          <w:tcPr>
            <w:tcW w:type="dxa" w:w="1728"/>
          </w:tcPr>
          <w:p>
            <w:r>
              <w:t>size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priceDelta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 xml:space="preserve">Added to </w:t>
            </w:r>
            <w:r>
              <w:rPr>
                <w:rFonts w:ascii="Consolas" w:hAnsi="Consolas"/>
                <w:sz w:val="20"/>
              </w:rPr>
              <w:t>Product.priceUgx</w:t>
            </w:r>
          </w:p>
        </w:tc>
      </w:tr>
      <w:tr>
        <w:tc>
          <w:tcPr>
            <w:tcW w:type="dxa" w:w="1728"/>
          </w:tcPr>
          <w:p>
            <w:r>
              <w:t>stockQty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 xml:space="preserve">Same denormalized-cache caveat as </w:t>
            </w:r>
            <w:r>
              <w:rPr>
                <w:rFonts w:ascii="Consolas" w:hAnsi="Consolas"/>
                <w:sz w:val="20"/>
              </w:rPr>
              <w:t>Product.stockQty</w:t>
            </w:r>
          </w:p>
        </w:tc>
      </w:tr>
    </w:tbl>
    <w:p>
      <w:pPr>
        <w:pStyle w:val="Heading2"/>
      </w:pPr>
      <w:r>
        <w:t>Inventory</w:t>
      </w:r>
    </w:p>
    <w:p>
      <w:pPr>
        <w:pStyle w:val="Heading3"/>
      </w:pPr>
      <w:r>
        <w:t>Warehouse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</w:p>
        </w:tc>
      </w:tr>
      <w:tr>
        <w:tc>
          <w:tcPr>
            <w:tcW w:type="dxa" w:w="1728"/>
          </w:tcPr>
          <w:p>
            <w:r>
              <w:t>location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InventoryRecord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Product, Cascade</w:t>
            </w:r>
          </w:p>
        </w:tc>
      </w:tr>
      <w:tr>
        <w:tc>
          <w:tcPr>
            <w:tcW w:type="dxa" w:w="1728"/>
          </w:tcPr>
          <w:p>
            <w:r>
              <w:t>warehouseId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Warehouse, Cascade</w:t>
            </w:r>
          </w:p>
        </w:tc>
      </w:tr>
      <w:tr>
        <w:tc>
          <w:tcPr>
            <w:tcW w:type="dxa" w:w="1728"/>
          </w:tcPr>
          <w:p>
            <w:r>
              <w:t>batchLot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Checkout decrements FIFO across batches</w:t>
            </w:r>
          </w:p>
        </w:tc>
      </w:tr>
      <w:tr>
        <w:tc>
          <w:tcPr>
            <w:tcW w:type="dxa" w:w="1728"/>
          </w:tcPr>
          <w:p>
            <w:r>
              <w:t>qtyOnHand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Source of truth for stock, per product × warehouse × batch</w:t>
            </w:r>
          </w:p>
        </w:tc>
      </w:tr>
      <w:tr>
        <w:tc>
          <w:tcPr>
            <w:tcW w:type="dxa" w:w="1728"/>
          </w:tcPr>
          <w:p>
            <w:r>
              <w:t>reorderPoint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Drives low-stock admin flags</w:t>
            </w:r>
          </w:p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@@unique([productId, warehouseId, batchLot])</w:t>
            </w:r>
            <w:r>
              <w:t xml:space="preserve">; </w:t>
            </w:r>
            <w:r>
              <w:rPr>
                <w:rFonts w:ascii="Consolas" w:hAnsi="Consolas"/>
                <w:sz w:val="20"/>
              </w:rPr>
              <w:t>@@index([warehouseId])</w:t>
            </w:r>
          </w:p>
        </w:tc>
      </w:tr>
    </w:tbl>
    <w:p>
      <w:pPr>
        <w:pStyle w:val="Heading2"/>
      </w:pPr>
      <w:r>
        <w:t>Cart &amp; checkout</w:t>
      </w:r>
    </w:p>
    <w:p>
      <w:pPr>
        <w:pStyle w:val="Heading3"/>
      </w:pPr>
      <w:r>
        <w:t>Cart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  <w:r>
              <w:t>, FK → User, Cascade; null for a guest cart</w:t>
            </w:r>
          </w:p>
        </w:tc>
      </w:tr>
      <w:tr>
        <w:tc>
          <w:tcPr>
            <w:tcW w:type="dxa" w:w="1728"/>
          </w:tcPr>
          <w:p>
            <w:r>
              <w:t>sessionId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  <w:r>
              <w:t>; guest-cart identifier</w:t>
            </w:r>
          </w:p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CartItem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cartId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Cart, Cascade</w:t>
            </w:r>
          </w:p>
        </w:tc>
      </w:tr>
      <w:tr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Product</w:t>
            </w:r>
          </w:p>
        </w:tc>
      </w:tr>
      <w:tr>
        <w:tc>
          <w:tcPr>
            <w:tcW w:type="dxa" w:w="1728"/>
          </w:tcPr>
          <w:p>
            <w:r>
              <w:t>variantId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Variant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@@unique([cartId, productId, variantId])</w:t>
            </w:r>
            <w:r>
              <w:t xml:space="preserve"> — NULL-is-distinct means this doesn't dedupe null-variant rows; handled explicitly in </w:t>
            </w:r>
            <w:r>
              <w:rPr>
                <w:rFonts w:ascii="Consolas" w:hAnsi="Consolas"/>
                <w:sz w:val="20"/>
              </w:rPr>
              <w:t>CartService.addItem()</w:t>
            </w:r>
          </w:p>
        </w:tc>
      </w:tr>
    </w:tbl>
    <w:p>
      <w:pPr>
        <w:pStyle w:val="Heading3"/>
      </w:pPr>
      <w:r>
        <w:t>Order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orderNumber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OrderStatus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 xml:space="preserve">State machine — see </w:t>
            </w:r>
            <w:r>
              <w:rPr>
                <w:rFonts w:ascii="Consolas" w:hAnsi="Consolas"/>
                <w:sz w:val="20"/>
              </w:rPr>
              <w:t>ALLOWED_TRANSITIONS</w:t>
            </w:r>
            <w:r>
              <w:t xml:space="preserve"> in </w:t>
            </w:r>
            <w:r>
              <w:rPr>
                <w:rFonts w:ascii="Consolas" w:hAnsi="Consolas"/>
                <w:sz w:val="20"/>
              </w:rPr>
              <w:t>orders.service.ts</w:t>
            </w:r>
          </w:p>
        </w:tc>
      </w:tr>
      <w:tr>
        <w:tc>
          <w:tcPr>
            <w:tcW w:type="dxa" w:w="1728"/>
          </w:tcPr>
          <w:p>
            <w:r>
              <w:t>warehouseId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Warehouse</w:t>
            </w:r>
          </w:p>
        </w:tc>
      </w:tr>
      <w:tr>
        <w:tc>
          <w:tcPr>
            <w:tcW w:type="dxa" w:w="1728"/>
          </w:tcPr>
          <w:p>
            <w:r>
              <w:t>subtotalUgx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shippingFeeUgx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discountUgx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vatUgx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Uganda VAT (18%), broken out separately — collected on URA's behalf, not ChrisPa revenue</w:t>
            </w:r>
          </w:p>
        </w:tc>
      </w:tr>
      <w:tr>
        <w:tc>
          <w:tcPr>
            <w:tcW w:type="dxa" w:w="1728"/>
          </w:tcPr>
          <w:p>
            <w:r>
              <w:t>totalUgx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deliveryMethod</w:t>
            </w:r>
          </w:p>
        </w:tc>
        <w:tc>
          <w:tcPr>
            <w:tcW w:type="dxa" w:w="1728"/>
          </w:tcPr>
          <w:p>
            <w:r>
              <w:t>DeliveryMethod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timeSlot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paymentMethod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Only </w:t>
            </w:r>
            <w:r>
              <w:rPr>
                <w:rFonts w:ascii="Consolas" w:hAnsi="Consolas"/>
                <w:sz w:val="20"/>
              </w:rPr>
              <w:t>CASH_ON_DELIVERY</w:t>
            </w:r>
            <w:r>
              <w:t xml:space="preserve"> completes; </w:t>
            </w:r>
            <w:r>
              <w:rPr>
                <w:rFonts w:ascii="Consolas" w:hAnsi="Consolas"/>
                <w:sz w:val="20"/>
              </w:rPr>
              <w:t>MOBILE_MONEY</w:t>
            </w:r>
            <w:r>
              <w:t>/</w:t>
            </w:r>
            <w:r>
              <w:rPr>
                <w:rFonts w:ascii="Consolas" w:hAnsi="Consolas"/>
                <w:sz w:val="20"/>
              </w:rPr>
              <w:t>CARD</w:t>
            </w:r>
            <w:r>
              <w:t xml:space="preserve"> return 501</w:t>
            </w:r>
          </w:p>
        </w:tc>
      </w:tr>
      <w:tr>
        <w:tc>
          <w:tcPr>
            <w:tcW w:type="dxa" w:w="1728"/>
          </w:tcPr>
          <w:p>
            <w:r>
              <w:t>shippingAddress</w:t>
            </w:r>
          </w:p>
        </w:tc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deliveryConfirmedAt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Customer-only signal, separate from staff-set </w:t>
            </w:r>
            <w:r>
              <w:rPr>
                <w:rFonts w:ascii="Consolas" w:hAnsi="Consolas"/>
                <w:sz w:val="20"/>
              </w:rPr>
              <w:t>status: DELIVERED</w:t>
            </w:r>
            <w:r>
              <w:t xml:space="preserve"> — "mutual consent" the printable receipt requires</w:t>
            </w:r>
          </w:p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@@index([userId])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@@index([warehouseId])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@@index([status])</w:t>
            </w:r>
          </w:p>
        </w:tc>
      </w:tr>
    </w:tbl>
    <w:p>
      <w:pPr>
        <w:pStyle w:val="Heading3"/>
      </w:pPr>
      <w:r>
        <w:t>OrderItem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Order, Cascade</w:t>
            </w:r>
          </w:p>
        </w:tc>
      </w:tr>
      <w:tr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Product</w:t>
            </w:r>
          </w:p>
        </w:tc>
      </w:tr>
      <w:tr>
        <w:tc>
          <w:tcPr>
            <w:tcW w:type="dxa" w:w="1728"/>
          </w:tcPr>
          <w:p>
            <w:r>
              <w:t>variantId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Variant</w:t>
            </w:r>
          </w:p>
        </w:tc>
      </w:tr>
      <w:tr>
        <w:tc>
          <w:tcPr>
            <w:tcW w:type="dxa" w:w="1728"/>
          </w:tcPr>
          <w:p>
            <w:r>
              <w:t>qty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unitPriceUgx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vendorId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Vendor; snapshotted at order time, not read live from Product</w:t>
            </w:r>
          </w:p>
        </w:tc>
      </w:tr>
      <w:tr>
        <w:tc>
          <w:tcPr>
            <w:tcW w:type="dxa" w:w="1728"/>
          </w:tcPr>
          <w:p>
            <w:r>
              <w:t>costUgxSnapshot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platformCommissionUgx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Null until </w:t>
            </w:r>
            <w:r>
              <w:rPr>
                <w:rFonts w:ascii="Consolas" w:hAnsi="Consolas"/>
                <w:sz w:val="20"/>
              </w:rPr>
              <w:t>RevenueRecognitionService</w:t>
            </w:r>
            <w:r>
              <w:t xml:space="preserve"> computes it at delivery</w:t>
            </w:r>
          </w:p>
        </w:tc>
      </w:tr>
      <w:tr>
        <w:tc>
          <w:tcPr>
            <w:tcW w:type="dxa" w:w="1728"/>
          </w:tcPr>
          <w:p>
            <w:r>
              <w:t>vendorPayoutUgx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vendorPayoutId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VendorPayout; null = not yet paid out (guards against double-paying)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@@index</w:t>
            </w:r>
            <w:r>
              <w:t xml:space="preserve"> on orderId, productId, vendorId, vendorPayoutId</w:t>
            </w:r>
          </w:p>
        </w:tc>
      </w:tr>
    </w:tbl>
    <w:p>
      <w:pPr>
        <w:pStyle w:val="Heading2"/>
      </w:pPr>
      <w:r>
        <w:t>Delivery (Driver App)</w:t>
      </w:r>
    </w:p>
    <w:p>
      <w:r>
        <w:t xml:space="preserve">Added commit </w:t>
      </w:r>
      <w:r>
        <w:rPr>
          <w:rFonts w:ascii="Consolas" w:hAnsi="Consolas"/>
          <w:sz w:val="20"/>
        </w:rPr>
        <w:t>75b7cff</w:t>
      </w:r>
      <w:r>
        <w:t xml:space="preserve">, per user request — not in the original SRS. See </w:t>
      </w:r>
      <w:hyperlink r:id="rId11">
        <w:r>
          <w:rPr>
            <w:color w:val="0563C1"/>
            <w:u w:val="single"/>
          </w:rPr>
          <w:t xml:space="preserve">`21-data-flow-diagram.md`</w:t>
        </w:r>
      </w:hyperlink>
      <w:r>
        <w:t xml:space="preserve">'s Driver App diagram and </w:t>
      </w:r>
      <w:hyperlink r:id="rId10">
        <w:r>
          <w:rPr>
            <w:color w:val="0563C1"/>
            <w:u w:val="single"/>
          </w:rPr>
          <w:t xml:space="preserve">`22-entity-relationship-diagram.md`</w:t>
        </w:r>
      </w:hyperlink>
      <w:r>
        <w:t xml:space="preserve"> for the relationship/reassignment semantics.</w:t>
      </w:r>
    </w:p>
    <w:p>
      <w:pPr>
        <w:pStyle w:val="Heading3"/>
      </w:pPr>
      <w:r>
        <w:t>Delivery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FK → Order, </w:t>
            </w:r>
            <w:r>
              <w:rPr>
                <w:rFonts w:ascii="Consolas" w:hAnsi="Consolas"/>
                <w:sz w:val="20"/>
              </w:rPr>
              <w:t>@unique</w:t>
            </w:r>
            <w:r>
              <w:t xml:space="preserve"> — 1:1, no split-shipment support</w:t>
            </w:r>
          </w:p>
        </w:tc>
      </w:tr>
      <w:tr>
        <w:tc>
          <w:tcPr>
            <w:tcW w:type="dxa" w:w="1728"/>
          </w:tcPr>
          <w:p>
            <w:r>
              <w:t>driverId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FK → User (relation </w:t>
            </w:r>
            <w:r>
              <w:rPr>
                <w:rFonts w:ascii="Consolas" w:hAnsi="Consolas"/>
                <w:sz w:val="20"/>
              </w:rPr>
              <w:t>DriverDeliveries</w:t>
            </w:r>
            <w:r>
              <w:t xml:space="preserve">); the assigned driver, must have </w:t>
            </w:r>
            <w:r>
              <w:rPr>
                <w:rFonts w:ascii="Consolas" w:hAnsi="Consolas"/>
                <w:sz w:val="20"/>
              </w:rPr>
              <w:t>role: DRIVER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DeliveryStatus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ASSIGNED</w:t>
            </w:r>
          </w:p>
        </w:tc>
        <w:tc>
          <w:tcPr>
            <w:tcW w:type="dxa" w:w="1728"/>
          </w:tcPr>
          <w:p>
            <w:r>
              <w:t xml:space="preserve">See the </w:t>
            </w:r>
            <w:r>
              <w:rPr>
                <w:rFonts w:ascii="Consolas" w:hAnsi="Consolas"/>
                <w:sz w:val="20"/>
              </w:rPr>
              <w:t>DeliveryStatus</w:t>
            </w:r>
            <w:r>
              <w:t xml:space="preserve"> enum below</w:t>
            </w:r>
          </w:p>
        </w:tc>
      </w:tr>
      <w:tr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DeliveryPriority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NORMAL</w:t>
            </w:r>
          </w:p>
        </w:tc>
        <w:tc>
          <w:tcPr>
            <w:tcW w:type="dxa" w:w="1728"/>
          </w:tcPr>
          <w:p>
            <w:r>
              <w:t xml:space="preserve">Added commit </w:t>
            </w:r>
            <w:r>
              <w:rPr>
                <w:rFonts w:ascii="Consolas" w:hAnsi="Consolas"/>
                <w:sz w:val="20"/>
              </w:rPr>
              <w:t>445a258</w:t>
            </w:r>
            <w:r>
              <w:t xml:space="preserve"> — set at assignment; a driver's own list sorts URGENT-first, ordering hint only, no automated dispatch reads it</w:t>
            </w:r>
          </w:p>
        </w:tc>
      </w:tr>
      <w:tr>
        <w:tc>
          <w:tcPr>
            <w:tcW w:type="dxa" w:w="1728"/>
          </w:tcPr>
          <w:p>
            <w:r>
              <w:t>pickupLat / pickupLng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Snapshotted from the driver's browser geolocation at the moment </w:t>
            </w:r>
            <w:r>
              <w:rPr>
                <w:rFonts w:ascii="Consolas" w:hAnsi="Consolas"/>
                <w:sz w:val="20"/>
              </w:rPr>
              <w:t>status</w:t>
            </w:r>
            <w:r>
              <w:t xml:space="preserve"> becomes </w:t>
            </w:r>
            <w:r>
              <w:rPr>
                <w:rFonts w:ascii="Consolas" w:hAnsi="Consolas"/>
                <w:sz w:val="20"/>
              </w:rPr>
              <w:t>PICKED_UP</w:t>
            </w:r>
          </w:p>
        </w:tc>
      </w:tr>
      <w:tr>
        <w:tc>
          <w:tcPr>
            <w:tcW w:type="dxa" w:w="1728"/>
          </w:tcPr>
          <w:p>
            <w:r>
              <w:t>pickupLocationName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Added this session — best-effort reverse-geocoded label for pickupLat/pickupLng (</w:t>
            </w:r>
            <w:r>
              <w:rPr>
                <w:rFonts w:ascii="Consolas" w:hAnsi="Consolas"/>
                <w:sz w:val="20"/>
              </w:rPr>
              <w:t>GeocodingService</w:t>
            </w:r>
            <w:r>
              <w:t xml:space="preserve">, OpenStreetMap Nominatim), resolved once at </w:t>
            </w:r>
            <w:r>
              <w:rPr>
                <w:rFonts w:ascii="Consolas" w:hAnsi="Consolas"/>
                <w:sz w:val="20"/>
              </w:rPr>
              <w:t>PICKED_UP</w:t>
            </w:r>
            <w:r>
              <w:t xml:space="preserve"> and snapshotted alongside the coordinates, never re-resolved later; null if the lookup failed (never blocks the status update)</w:t>
            </w:r>
          </w:p>
        </w:tc>
      </w:tr>
      <w:tr>
        <w:tc>
          <w:tcPr>
            <w:tcW w:type="dxa" w:w="1728"/>
          </w:tcPr>
          <w:p>
            <w:r>
              <w:t>pickedUpAt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Set alongside pickupLat/pickupLng</w:t>
            </w:r>
          </w:p>
        </w:tc>
      </w:tr>
      <w:tr>
        <w:tc>
          <w:tcPr>
            <w:tcW w:type="dxa" w:w="1728"/>
          </w:tcPr>
          <w:p>
            <w:r>
              <w:t>deliveryLat / deliveryLng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Snapshotted at </w:t>
            </w:r>
            <w:r>
              <w:rPr>
                <w:rFonts w:ascii="Consolas" w:hAnsi="Consolas"/>
                <w:sz w:val="20"/>
              </w:rPr>
              <w:t>DELIVERED</w:t>
            </w:r>
            <w:r>
              <w:t>, same reasoning as pickup</w:t>
            </w:r>
          </w:p>
        </w:tc>
      </w:tr>
      <w:tr>
        <w:tc>
          <w:tcPr>
            <w:tcW w:type="dxa" w:w="1728"/>
          </w:tcPr>
          <w:p>
            <w:r>
              <w:t>deliveryLocationName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Added this session — same reverse-geocoding as pickupLocationName, resolved at </w:t>
            </w:r>
            <w:r>
              <w:rPr>
                <w:rFonts w:ascii="Consolas" w:hAnsi="Consolas"/>
                <w:sz w:val="20"/>
              </w:rPr>
              <w:t>DELIVERED</w:t>
            </w:r>
          </w:p>
        </w:tc>
      </w:tr>
      <w:tr>
        <w:tc>
          <w:tcPr>
            <w:tcW w:type="dxa" w:w="1728"/>
          </w:tcPr>
          <w:p>
            <w:r>
              <w:t>deliveredAt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Set alongside deliveryLat/deliveryLng</w:t>
            </w:r>
          </w:p>
        </w:tc>
      </w:tr>
      <w:tr>
        <w:tc>
          <w:tcPr>
            <w:tcW w:type="dxa" w:w="1728"/>
          </w:tcPr>
          <w:p>
            <w:r>
              <w:t>currentLat / currentLng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Last-known position while en route — a single overwritten snapshot, not a location-history table</w:t>
            </w:r>
          </w:p>
        </w:tc>
      </w:tr>
      <w:tr>
        <w:tc>
          <w:tcPr>
            <w:tcW w:type="dxa" w:w="1728"/>
          </w:tcPr>
          <w:p>
            <w:r>
              <w:t>lastLocationAt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Timestamp of the last position update</w:t>
            </w:r>
          </w:p>
        </w:tc>
      </w:tr>
      <w:tr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assignedAt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@@index([driverId])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@@index([status])</w:t>
            </w:r>
          </w:p>
        </w:tc>
      </w:tr>
    </w:tbl>
    <w:p>
      <w:pPr>
        <w:pStyle w:val="Heading2"/>
      </w:pPr>
      <w:r>
        <w:t>Marketplace</w:t>
      </w:r>
    </w:p>
    <w:p>
      <w:pPr>
        <w:pStyle w:val="Heading3"/>
      </w:pPr>
      <w:r>
        <w:t>Vendor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contactEmail / contactPhone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payoutMobileMoneyNumber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commissionRatePercent</w:t>
            </w:r>
          </w:p>
        </w:tc>
        <w:tc>
          <w:tcPr>
            <w:tcW w:type="dxa" w:w="1728"/>
          </w:tcPr>
          <w:p>
            <w:r>
              <w:t>Decimal(5,2)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 xml:space="preserve">Platform's cut; read live at order-creation time, then snapshotted onto </w:t>
            </w:r>
            <w:r>
              <w:rPr>
                <w:rFonts w:ascii="Consolas" w:hAnsi="Consolas"/>
                <w:sz w:val="20"/>
              </w:rPr>
              <w:t>OrderItem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VendorStatus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VendorPayout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vendorId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Vendor</w:t>
            </w:r>
          </w:p>
        </w:tc>
      </w:tr>
      <w:tr>
        <w:tc>
          <w:tcPr>
            <w:tcW w:type="dxa" w:w="1728"/>
          </w:tcPr>
          <w:p>
            <w:r>
              <w:t>periodStart / periodEnd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grossSalesUgx / commissionUgx / payoutUgx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Computed from that vendor's DELIVERED OrderItems, not recomputed live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VendorPayoutStatus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>
            <w:r>
              <w:t>Marking PAID is manual — no real disbursement integration</w:t>
            </w:r>
          </w:p>
        </w:tc>
      </w:tr>
      <w:tr>
        <w:tc>
          <w:tcPr>
            <w:tcW w:type="dxa" w:w="1728"/>
          </w:tcPr>
          <w:p>
            <w:r>
              <w:t>paidAt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t>Payments</w:t>
      </w:r>
    </w:p>
    <w:p>
      <w:pPr>
        <w:pStyle w:val="Heading3"/>
      </w:pPr>
      <w:r>
        <w:t>PaymentTransaction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Order; nullable since a charge can be initiated before the order is confirmed</w:t>
            </w:r>
          </w:p>
        </w:tc>
      </w:tr>
      <w:tr>
        <w:tc>
          <w:tcPr>
            <w:tcW w:type="dxa" w:w="1728"/>
          </w:tcPr>
          <w:p>
            <w:r>
              <w:t>provider</w:t>
            </w:r>
          </w:p>
        </w:tc>
        <w:tc>
          <w:tcPr>
            <w:tcW w:type="dxa" w:w="1728"/>
          </w:tcPr>
          <w:p>
            <w:r>
              <w:t>PaymentProvider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Only </w:t>
            </w:r>
            <w:r>
              <w:rPr>
                <w:rFonts w:ascii="Consolas" w:hAnsi="Consolas"/>
                <w:sz w:val="20"/>
              </w:rPr>
              <w:t>FLUTTERWAVE</w:t>
            </w:r>
          </w:p>
        </w:tc>
      </w:tr>
      <w:tr>
        <w:tc>
          <w:tcPr>
            <w:tcW w:type="dxa" w:w="1728"/>
          </w:tcPr>
          <w:p>
            <w:r>
              <w:t>providerReference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  <w:r>
              <w:t xml:space="preserve">; our own idempotency key, sent as </w:t>
            </w:r>
            <w:r>
              <w:rPr>
                <w:rFonts w:ascii="Consolas" w:hAnsi="Consolas"/>
                <w:sz w:val="20"/>
              </w:rPr>
              <w:t>tx_ref</w:t>
            </w:r>
            <w:r>
              <w:t xml:space="preserve"> — how the webhook maps back</w:t>
            </w:r>
          </w:p>
        </w:tc>
      </w:tr>
      <w:tr>
        <w:tc>
          <w:tcPr>
            <w:tcW w:type="dxa" w:w="1728"/>
          </w:tcPr>
          <w:p>
            <w:r>
              <w:t>providerTransactionId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amountUgx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currency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"UGX"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PaymentTransactionStatus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failureReason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feeUgx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Gateway fee, or a chargeback fee once disputed</w:t>
            </w:r>
          </w:p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t>Marketing</w:t>
      </w:r>
    </w:p>
    <w:p>
      <w:pPr>
        <w:pStyle w:val="Heading3"/>
      </w:pPr>
      <w:r>
        <w:t>Coupon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CouponType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value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usageCount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expiresAt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Bundle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productIds</w:t>
            </w:r>
          </w:p>
        </w:tc>
        <w:tc>
          <w:tcPr>
            <w:tcW w:type="dxa" w:w="1728"/>
          </w:tcPr>
          <w:p>
            <w:r>
              <w:t>String[]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Scalar array, not a join table — no referential integrity, deliberate for this small feature</w:t>
            </w:r>
          </w:p>
        </w:tc>
      </w:tr>
      <w:tr>
        <w:tc>
          <w:tcPr>
            <w:tcW w:type="dxa" w:w="1728"/>
          </w:tcPr>
          <w:p>
            <w:r>
              <w:t>bundlePriceUgx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NewsletterSubscriber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subscribedAt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unsubscribedAt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Kept, not hard-deleted on unsubscribe — preserves history and lets a re-subscribe flip it back on</w:t>
            </w:r>
          </w:p>
        </w:tc>
      </w:tr>
    </w:tbl>
    <w:p>
      <w:pPr>
        <w:pStyle w:val="Heading3"/>
      </w:pPr>
      <w:r>
        <w:t>NewsletterCampaign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subject / 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recipientCount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Snapshot of active subscriber count at send time</w:t>
            </w:r>
          </w:p>
        </w:tc>
      </w:tr>
      <w:tr>
        <w:tc>
          <w:tcPr>
            <w:tcW w:type="dxa" w:w="1728"/>
          </w:tcPr>
          <w:p>
            <w:r>
              <w:t>notifiedUserCount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 xml:space="preserve">How many also got an in-app </w:t>
            </w:r>
            <w:r>
              <w:rPr>
                <w:rFonts w:ascii="Consolas" w:hAnsi="Consolas"/>
                <w:sz w:val="20"/>
              </w:rPr>
              <w:t>Notification</w:t>
            </w:r>
          </w:p>
        </w:tc>
      </w:tr>
      <w:tr>
        <w:tc>
          <w:tcPr>
            <w:tcW w:type="dxa" w:w="1728"/>
          </w:tcPr>
          <w:p>
            <w:r>
              <w:t>sentAt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>
            <w:r>
              <w:t>Sent immediately on creation — not a draft/scheduling system</w:t>
            </w:r>
          </w:p>
        </w:tc>
      </w:tr>
    </w:tbl>
    <w:p>
      <w:pPr>
        <w:pStyle w:val="Heading2"/>
      </w:pPr>
      <w:r>
        <w:t>Loyalty</w:t>
      </w:r>
    </w:p>
    <w:p>
      <w:pPr>
        <w:pStyle w:val="Heading3"/>
      </w:pPr>
      <w:r>
        <w:t>LoyaltyAccount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  <w:r>
              <w:t>, FK → User, Cascade</w:t>
            </w:r>
          </w:p>
        </w:tc>
      </w:tr>
      <w:tr>
        <w:tc>
          <w:tcPr>
            <w:tcW w:type="dxa" w:w="1728"/>
          </w:tcPr>
          <w:p>
            <w:r>
              <w:t>pointsBalance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CustomerTier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LoyaltyLedgerEntry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loyaltyAccountId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LoyaltyAccount, Cascade</w:t>
            </w:r>
          </w:p>
        </w:tc>
      </w:tr>
      <w:tr>
        <w:tc>
          <w:tcPr>
            <w:tcW w:type="dxa" w:w="1728"/>
          </w:tcPr>
          <w:p>
            <w:r>
              <w:t>delta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Signed — award or reversal</w:t>
            </w:r>
          </w:p>
        </w:tc>
      </w:tr>
      <w:tr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Order</w:t>
            </w:r>
          </w:p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t>Notifications</w:t>
      </w:r>
    </w:p>
    <w:p>
      <w:r>
        <w:t xml:space="preserve">See </w:t>
      </w:r>
      <w:r>
        <w:rPr>
          <w:rFonts w:ascii="Consolas" w:hAnsi="Consolas"/>
          <w:sz w:val="20"/>
        </w:rPr>
        <w:t>Notification</w:t>
      </w:r>
      <w:r>
        <w:t xml:space="preserve"> under </w:t>
      </w:r>
      <w:r>
        <w:rPr>
          <w:b/>
        </w:rPr>
        <w:t>Identity &amp; auth</w:t>
      </w:r>
      <w:r>
        <w:t xml:space="preserve"> above (kept there since it's a direct </w:t>
      </w:r>
      <w:r>
        <w:rPr>
          <w:rFonts w:ascii="Consolas" w:hAnsi="Consolas"/>
          <w:sz w:val="20"/>
        </w:rPr>
        <w:t>User</w:t>
      </w:r>
      <w:r>
        <w:t xml:space="preserve"> relation) — treated as its own domain in </w:t>
      </w:r>
      <w:r>
        <w:rPr>
          <w:rFonts w:ascii="Consolas" w:hAnsi="Consolas"/>
          <w:sz w:val="20"/>
        </w:rPr>
        <w:t>03-database-design.md</w:t>
      </w:r>
      <w:r>
        <w:t>'s inventory table.</w:t>
      </w:r>
    </w:p>
    <w:p>
      <w:pPr>
        <w:pStyle w:val="Heading2"/>
      </w:pPr>
      <w:r>
        <w:t>CRM / support</w:t>
      </w:r>
    </w:p>
    <w:p>
      <w:pPr>
        <w:pStyle w:val="Heading3"/>
      </w:pPr>
      <w:r>
        <w:t>Review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Product, Cascade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User, Cascade</w:t>
            </w:r>
          </w:p>
        </w:tc>
      </w:tr>
      <w:tr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photos</w:t>
            </w:r>
          </w:p>
        </w:tc>
        <w:tc>
          <w:tcPr>
            <w:tcW w:type="dxa" w:w="1728"/>
          </w:tcPr>
          <w:p>
            <w:r>
              <w:t>String[]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[]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SupportTicket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User, Cascade</w:t>
            </w:r>
          </w:p>
        </w:tc>
      </w:tr>
      <w:tr>
        <w:tc>
          <w:tcPr>
            <w:tcW w:type="dxa" w:w="1728"/>
          </w:tcPr>
          <w:p>
            <w:r>
              <w:t>orderId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Order</w:t>
            </w:r>
          </w:p>
        </w:tc>
      </w:tr>
      <w:tr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TicketStatus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TicketMessage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ticketId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SupportTicket, Cascade</w:t>
            </w:r>
          </w:p>
        </w:tc>
      </w:tr>
      <w:tr>
        <w:tc>
          <w:tcPr>
            <w:tcW w:type="dxa" w:w="1728"/>
          </w:tcPr>
          <w:p>
            <w:r>
              <w:t>authorUserId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User, Cascade — either party</w:t>
            </w:r>
          </w:p>
        </w:tc>
      </w:tr>
      <w:tr>
        <w:tc>
          <w:tcPr>
            <w:tcW w:type="dxa" w:w="1728"/>
          </w:tcPr>
          <w:p>
            <w:r>
              <w:t>authorRole</w:t>
            </w:r>
          </w:p>
        </w:tc>
        <w:tc>
          <w:tcPr>
            <w:tcW w:type="dxa" w:w="1728"/>
          </w:tcPr>
          <w:p>
            <w:r>
              <w:t>UserRole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Snapshotted at write time — a later role change shouldn't repaint an old message's bubble</w:t>
            </w:r>
          </w:p>
        </w:tc>
      </w:tr>
      <w:tr>
        <w:tc>
          <w:tcPr>
            <w:tcW w:type="dxa" w:w="1728"/>
          </w:tcPr>
          <w:p>
            <w:r>
              <w:t>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WishlistItem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User, Cascade</w:t>
            </w:r>
          </w:p>
        </w:tc>
      </w:tr>
      <w:tr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Product, Cascade</w:t>
            </w:r>
          </w:p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@@unique([userId, productId])</w:t>
            </w:r>
          </w:p>
        </w:tc>
      </w:tr>
    </w:tbl>
    <w:p>
      <w:pPr>
        <w:pStyle w:val="Heading2"/>
      </w:pPr>
      <w:r>
        <w:t>CMS</w:t>
      </w:r>
    </w:p>
    <w:p>
      <w:pPr>
        <w:pStyle w:val="Heading3"/>
      </w:pPr>
      <w:r>
        <w:t>CmsPage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</w:p>
        </w:tc>
      </w:tr>
      <w:tr>
        <w:tc>
          <w:tcPr>
            <w:tcW w:type="dxa" w:w="1728"/>
          </w:tcPr>
          <w:p>
            <w:r>
              <w:t>title / 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CmsStatus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Banner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imageUrl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linkUrl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sortOrder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BlogPost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slug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</w:p>
        </w:tc>
      </w:tr>
      <w:tr>
        <w:tc>
          <w:tcPr>
            <w:tcW w:type="dxa" w:w="1728"/>
          </w:tcPr>
          <w:p>
            <w:r>
              <w:t>title / body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CmsStatus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  <w:tc>
          <w:tcPr>
            <w:tcW w:type="dxa" w:w="1728"/>
          </w:tcPr>
          <w:p>
            <w:r>
              <w:t>Read-only from the admin side today — no write endpoint yet</w:t>
            </w:r>
          </w:p>
        </w:tc>
      </w:tr>
      <w:tr>
        <w:tc>
          <w:tcPr>
            <w:tcW w:type="dxa" w:w="1728"/>
          </w:tcPr>
          <w:p>
            <w:r>
              <w:t>publishedAt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SocialMediaAccount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platform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Free text, not an enum — no icon library, rendered as a text label regardless</w:t>
            </w:r>
          </w:p>
        </w:tc>
      </w:tr>
      <w:tr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sortOrder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t>HR — org (Departments, Employee Profiles, Documents)</w:t>
      </w:r>
    </w:p>
    <w:p>
      <w:pPr>
        <w:pStyle w:val="Heading3"/>
      </w:pPr>
      <w:r>
        <w:t>Department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</w:p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DepartmentPermission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departmentId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Department, Cascade</w:t>
            </w:r>
          </w:p>
        </w:tc>
      </w:tr>
      <w:tr>
        <w:tc>
          <w:tcPr>
            <w:tcW w:type="dxa" w:w="1728"/>
          </w:tcPr>
          <w:p>
            <w:r>
              <w:t>resource</w:t>
            </w:r>
          </w:p>
        </w:tc>
        <w:tc>
          <w:tcPr>
            <w:tcW w:type="dxa" w:w="1728"/>
          </w:tcPr>
          <w:p>
            <w:r>
              <w:t>PermissionResource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One row per admin nav area</w:t>
            </w:r>
          </w:p>
        </w:tc>
      </w:tr>
      <w:tr>
        <w:tc>
          <w:tcPr>
            <w:tcW w:type="dxa" w:w="1728"/>
          </w:tcPr>
          <w:p>
            <w:r>
              <w:t>canView / canCreate / canUpdate / canDelete / canExecute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>
            <w:r>
              <w:t xml:space="preserve">A </w:t>
            </w:r>
            <w:r>
              <w:rPr>
                <w:b/>
              </w:rPr>
              <w:t>stored policy record</w:t>
            </w:r>
            <w:r>
              <w:t xml:space="preserve">, not the enforcement mechanism — </w:t>
            </w:r>
            <w:r>
              <w:rPr>
                <w:rFonts w:ascii="Consolas" w:hAnsi="Consolas"/>
                <w:sz w:val="20"/>
              </w:rPr>
              <w:t>RolesGuard</w:t>
            </w:r>
            <w:r>
              <w:t>/</w:t>
            </w:r>
            <w:r>
              <w:rPr>
                <w:rFonts w:ascii="Consolas" w:hAnsi="Consolas"/>
                <w:sz w:val="20"/>
              </w:rPr>
              <w:t>@Roles()</w:t>
            </w:r>
            <w:r>
              <w:t xml:space="preserve"> is the real security boundary, by explicit user decision</w:t>
            </w:r>
          </w:p>
        </w:tc>
      </w:tr>
      <w:tr>
        <w:tc>
          <w:tcPr>
            <w:tcW w:type="dxa" w:w="1728"/>
          </w:tcPr>
          <w:p>
            <w:r>
              <w:t>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@@unique([departmentId, resource])</w:t>
            </w:r>
            <w:r>
              <w:t xml:space="preserve"> — every department always has a complete 15-row matrix</w:t>
            </w:r>
          </w:p>
        </w:tc>
      </w:tr>
    </w:tbl>
    <w:p>
      <w:pPr>
        <w:pStyle w:val="Heading3"/>
      </w:pPr>
      <w:r>
        <w:t>Employee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  <w:r>
              <w:t xml:space="preserve">, FK → User; optional both ways — see </w:t>
            </w:r>
            <w:r>
              <w:rPr>
                <w:rFonts w:ascii="Consolas" w:hAnsi="Consolas"/>
                <w:sz w:val="20"/>
              </w:rPr>
              <w:t>22-entity-relationship-diagram.md</w:t>
            </w:r>
          </w:p>
        </w:tc>
      </w:tr>
      <w:tr>
        <w:tc>
          <w:tcPr>
            <w:tcW w:type="dxa" w:w="1728"/>
          </w:tcPr>
          <w:p>
            <w:r>
              <w:t>employeeNumber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  <w:r>
              <w:t>, auto-generated</w:t>
            </w:r>
          </w:p>
        </w:tc>
      </w:tr>
      <w:tr>
        <w:tc>
          <w:tcPr>
            <w:tcW w:type="dxa" w:w="1728"/>
          </w:tcPr>
          <w:p>
            <w:r>
              <w:t>firstName / lastName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personalEmail / personalPhone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dateOfBirth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gender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nationalIdNumber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Uganda National ID — access restricted to OWNER/HR_MANAGER at the API layer</w:t>
            </w:r>
          </w:p>
        </w:tc>
      </w:tr>
      <w:tr>
        <w:tc>
          <w:tcPr>
            <w:tcW w:type="dxa" w:w="1728"/>
          </w:tcPr>
          <w:p>
            <w:r>
              <w:t>address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photoUrl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departmentId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Department</w:t>
            </w:r>
          </w:p>
        </w:tc>
      </w:tr>
      <w:tr>
        <w:tc>
          <w:tcPr>
            <w:tcW w:type="dxa" w:w="1728"/>
          </w:tcPr>
          <w:p>
            <w:r>
              <w:t>jobTitle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employmentType</w:t>
            </w:r>
          </w:p>
        </w:tc>
        <w:tc>
          <w:tcPr>
            <w:tcW w:type="dxa" w:w="1728"/>
          </w:tcPr>
          <w:p>
            <w:r>
              <w:t>EmploymentType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FULL_TIME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employmentStatus</w:t>
            </w:r>
          </w:p>
        </w:tc>
        <w:tc>
          <w:tcPr>
            <w:tcW w:type="dxa" w:w="1728"/>
          </w:tcPr>
          <w:p>
            <w:r>
              <w:t>EmploymentStatus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Never hard-deleted — TERMINATED is the "delete"</w:t>
            </w:r>
          </w:p>
        </w:tc>
      </w:tr>
      <w:tr>
        <w:tc>
          <w:tcPr>
            <w:tcW w:type="dxa" w:w="1728"/>
          </w:tcPr>
          <w:p>
            <w:r>
              <w:t>hireDate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terminationDate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managerId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 (self)</w:t>
            </w:r>
          </w:p>
        </w:tc>
      </w:tr>
      <w:tr>
        <w:tc>
          <w:tcPr>
            <w:tcW w:type="dxa" w:w="1728"/>
          </w:tcPr>
          <w:p>
            <w:r>
              <w:t>baseSalaryUgx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Payroll input</w:t>
            </w:r>
          </w:p>
        </w:tc>
      </w:tr>
      <w:tr>
        <w:tc>
          <w:tcPr>
            <w:tcW w:type="dxa" w:w="1728"/>
          </w:tcPr>
          <w:p>
            <w:r>
              <w:t>nssfNumber / tinNumber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annualLeaveDaysPerYear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Uganda Employment Act 2006 statutory minimum</w:t>
            </w:r>
          </w:p>
        </w:tc>
      </w:tr>
      <w:tr>
        <w:tc>
          <w:tcPr>
            <w:tcW w:type="dxa" w:w="1728"/>
          </w:tcPr>
          <w:p>
            <w:r>
              <w:t>standardHoursPerDay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Overtime calculation input</w:t>
            </w:r>
          </w:p>
        </w:tc>
      </w:tr>
      <w:tr>
        <w:tc>
          <w:tcPr>
            <w:tcW w:type="dxa" w:w="1728"/>
          </w:tcPr>
          <w:p>
            <w:r>
              <w:t>overtimeRateMultiplier</w:t>
            </w:r>
          </w:p>
        </w:tc>
        <w:tc>
          <w:tcPr>
            <w:tcW w:type="dxa" w:w="1728"/>
          </w:tcPr>
          <w:p>
            <w:r>
              <w:t>Float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Plain multiplier, not a percentage</w:t>
            </w:r>
          </w:p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@@index</w:t>
            </w:r>
            <w:r>
              <w:t xml:space="preserve"> on departmentId, managerId, employmentStatus</w:t>
            </w:r>
          </w:p>
        </w:tc>
      </w:tr>
    </w:tbl>
    <w:p>
      <w:pPr>
        <w:pStyle w:val="Heading3"/>
      </w:pPr>
      <w:r>
        <w:t>EmploymentHistoryEntry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Employee, Cascade</w:t>
            </w:r>
          </w:p>
        </w:tc>
      </w:tr>
      <w:tr>
        <w:tc>
          <w:tcPr>
            <w:tcW w:type="dxa" w:w="1728"/>
          </w:tcPr>
          <w:p>
            <w:r>
              <w:t>changeType</w:t>
            </w:r>
          </w:p>
        </w:tc>
        <w:tc>
          <w:tcPr>
            <w:tcW w:type="dxa" w:w="1728"/>
          </w:tcPr>
          <w:p>
            <w:r>
              <w:t>EmploymentChangeType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Auto-logged by </w:t>
            </w:r>
            <w:r>
              <w:rPr>
                <w:rFonts w:ascii="Consolas" w:hAnsi="Consolas"/>
                <w:sz w:val="20"/>
              </w:rPr>
              <w:t>EmployeesService.update()</w:t>
            </w:r>
            <w:r>
              <w:t>'s diff</w:t>
            </w:r>
          </w:p>
        </w:tc>
      </w:tr>
      <w:tr>
        <w:tc>
          <w:tcPr>
            <w:tcW w:type="dxa" w:w="1728"/>
          </w:tcPr>
          <w:p>
            <w:r>
              <w:t>previousValue / newValue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effectiveDate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EmployeeDocument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Employee, Cascade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EmployeeDocumentType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fileUrl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expiresAt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Drives the "documents expiring in 30 days" dashboard metric</w:t>
            </w:r>
          </w:p>
        </w:tc>
      </w:tr>
      <w:tr>
        <w:tc>
          <w:tcPr>
            <w:tcW w:type="dxa" w:w="1728"/>
          </w:tcPr>
          <w:p>
            <w:r>
              <w:t>uploadedAt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t>HR — attendance / leave / shifts</w:t>
      </w:r>
    </w:p>
    <w:p>
      <w:pPr>
        <w:pStyle w:val="Heading3"/>
      </w:pPr>
      <w:r>
        <w:t>TimeEntry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Employee, Cascade</w:t>
            </w:r>
          </w:p>
        </w:tc>
      </w:tr>
      <w:tr>
        <w:tc>
          <w:tcPr>
            <w:tcW w:type="dxa" w:w="1728"/>
          </w:tcPr>
          <w:p>
            <w:r>
              <w:t>clockIn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clockOut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AttendanceSource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WEB</w:t>
            </w:r>
          </w:p>
        </w:tc>
        <w:tc>
          <w:tcPr>
            <w:tcW w:type="dxa" w:w="1728"/>
          </w:tcPr>
          <w:p>
            <w:r>
              <w:t>Only value — no biometric/device integration</w:t>
            </w:r>
          </w:p>
        </w:tc>
      </w:tr>
      <w:tr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LeaveRequest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Employee, Cascade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LeaveType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startDate / endDate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LeaveRequestStatus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reviewedByUserId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</w:t>
            </w:r>
          </w:p>
        </w:tc>
      </w:tr>
      <w:tr>
        <w:tc>
          <w:tcPr>
            <w:tcW w:type="dxa" w:w="1728"/>
          </w:tcPr>
          <w:p>
            <w:r>
              <w:t>reviewNotes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Shift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Employee, Cascade</w:t>
            </w:r>
          </w:p>
        </w:tc>
      </w:tr>
      <w:tr>
        <w:tc>
          <w:tcPr>
            <w:tcW w:type="dxa" w:w="1728"/>
          </w:tcPr>
          <w:p>
            <w:r>
              <w:t>startAt / endAt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ShiftStatus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SCHEDULED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ShiftSwapRequest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shiftId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Shift, Cascade</w:t>
            </w:r>
          </w:p>
        </w:tc>
      </w:tr>
      <w:tr>
        <w:tc>
          <w:tcPr>
            <w:tcW w:type="dxa" w:w="1728"/>
          </w:tcPr>
          <w:p>
            <w:r>
              <w:t>requestedByEmployeeId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</w:t>
            </w:r>
          </w:p>
        </w:tc>
      </w:tr>
      <w:tr>
        <w:tc>
          <w:tcPr>
            <w:tcW w:type="dxa" w:w="1728"/>
          </w:tcPr>
          <w:p>
            <w:r>
              <w:t>coverEmployeeId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FK → Employee; approval reassigns </w:t>
            </w:r>
            <w:r>
              <w:rPr>
                <w:rFonts w:ascii="Consolas" w:hAnsi="Consolas"/>
                <w:sz w:val="20"/>
              </w:rPr>
              <w:t>Shift.employeeId</w:t>
            </w:r>
            <w:r>
              <w:t xml:space="preserve"> to this employee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ShiftSwapStatus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reviewedByUserId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</w:t>
            </w:r>
          </w:p>
        </w:tc>
      </w:tr>
      <w:tr>
        <w:tc>
          <w:tcPr>
            <w:tcW w:type="dxa" w:w="1728"/>
          </w:tcPr>
          <w:p>
            <w:r>
              <w:t>reason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t>HR — performance &amp; recruitment</w:t>
      </w:r>
    </w:p>
    <w:p>
      <w:pPr>
        <w:pStyle w:val="Heading3"/>
      </w:pPr>
      <w:r>
        <w:t>PerformanceGoal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Employee, Cascade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targetDate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GoalStatus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NOT_STARTED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progressPercent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createdByUserId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 — OWNER/HR_MANAGER or the employee's line manager</w:t>
            </w:r>
          </w:p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PerformanceFeedback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Employee, Cascade</w:t>
            </w:r>
          </w:p>
        </w:tc>
      </w:tr>
      <w:tr>
        <w:tc>
          <w:tcPr>
            <w:tcW w:type="dxa" w:w="1728"/>
          </w:tcPr>
          <w:p>
            <w:r>
              <w:t>givenByUserId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</w:t>
            </w:r>
          </w:p>
        </w:tc>
      </w:tr>
      <w:tr>
        <w:tc>
          <w:tcPr>
            <w:tcW w:type="dxa" w:w="1728"/>
          </w:tcPr>
          <w:p>
            <w:r>
              <w:t>note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Lightweight, immutable — distinct from the formal </w:t>
            </w:r>
            <w:r>
              <w:rPr>
                <w:rFonts w:ascii="Consolas" w:hAnsi="Consolas"/>
                <w:sz w:val="20"/>
              </w:rPr>
              <w:t>PerformanceReview</w:t>
            </w:r>
          </w:p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PerformanceReview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Employee, Cascade</w:t>
            </w:r>
          </w:p>
        </w:tc>
      </w:tr>
      <w:tr>
        <w:tc>
          <w:tcPr>
            <w:tcW w:type="dxa" w:w="1728"/>
          </w:tcPr>
          <w:p>
            <w:r>
              <w:t>reviewerUserId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</w:t>
            </w:r>
          </w:p>
        </w:tc>
      </w:tr>
      <w:tr>
        <w:tc>
          <w:tcPr>
            <w:tcW w:type="dxa" w:w="1728"/>
          </w:tcPr>
          <w:p>
            <w:r>
              <w:t>periodStart / periodEnd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rating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1–5</w:t>
            </w:r>
          </w:p>
        </w:tc>
      </w:tr>
      <w:tr>
        <w:tc>
          <w:tcPr>
            <w:tcW w:type="dxa" w:w="1728"/>
          </w:tcPr>
          <w:p>
            <w:r>
              <w:t>strengths / areasForImprovement / overallComments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ReviewStatus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  <w:tc>
          <w:tcPr>
            <w:tcW w:type="dxa" w:w="1728"/>
          </w:tcPr>
          <w:p>
            <w:r>
              <w:t xml:space="preserve">SUBMITTED locks content — only the employee's own </w:t>
            </w:r>
            <w:r>
              <w:rPr>
                <w:rFonts w:ascii="Consolas" w:hAnsi="Consolas"/>
                <w:sz w:val="20"/>
              </w:rPr>
              <w:t>acknowledge()</w:t>
            </w:r>
            <w:r>
              <w:t xml:space="preserve"> can move it to ACKNOWLEDGED</w:t>
            </w:r>
          </w:p>
        </w:tc>
      </w:tr>
      <w:tr>
        <w:tc>
          <w:tcPr>
            <w:tcW w:type="dxa" w:w="1728"/>
          </w:tcPr>
          <w:p>
            <w:r>
              <w:t>acknowledgedAt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JobPosting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title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departmentId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Department</w:t>
            </w:r>
          </w:p>
        </w:tc>
      </w:tr>
      <w:tr>
        <w:tc>
          <w:tcPr>
            <w:tcW w:type="dxa" w:w="1728"/>
          </w:tcPr>
          <w:p>
            <w:r>
              <w:t>description / requirements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employmentType</w:t>
            </w:r>
          </w:p>
        </w:tc>
        <w:tc>
          <w:tcPr>
            <w:tcW w:type="dxa" w:w="1728"/>
          </w:tcPr>
          <w:p>
            <w:r>
              <w:t>EmploymentType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FULL_TIME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JobPostingStatus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  <w:tc>
          <w:tcPr>
            <w:tcW w:type="dxa" w:w="1728"/>
          </w:tcPr>
          <w:p>
            <w:r>
              <w:t>Auto-transitions to FILLED on applicant conversion</w:t>
            </w:r>
          </w:p>
        </w:tc>
      </w:tr>
      <w:tr>
        <w:tc>
          <w:tcPr>
            <w:tcW w:type="dxa" w:w="1728"/>
          </w:tcPr>
          <w:p>
            <w:r>
              <w:t>createdByUserId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</w:t>
            </w:r>
          </w:p>
        </w:tc>
      </w:tr>
      <w:tr>
        <w:tc>
          <w:tcPr>
            <w:tcW w:type="dxa" w:w="1728"/>
          </w:tcPr>
          <w:p>
            <w:r>
              <w:t>postedAt / closedAt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Applicant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jobPostingId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JobPosting, Cascade</w:t>
            </w:r>
          </w:p>
        </w:tc>
      </w:tr>
      <w:tr>
        <w:tc>
          <w:tcPr>
            <w:tcW w:type="dxa" w:w="1728"/>
          </w:tcPr>
          <w:p>
            <w:r>
              <w:t>firstName / lastName / email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phone / resumeUrl / coverNote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stage</w:t>
            </w:r>
          </w:p>
        </w:tc>
        <w:tc>
          <w:tcPr>
            <w:tcW w:type="dxa" w:w="1728"/>
          </w:tcPr>
          <w:p>
            <w:r>
              <w:t>ApplicantStage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APPLIED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notes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Internal HR notes, not shown to the applicant</w:t>
            </w:r>
          </w:p>
        </w:tc>
      </w:tr>
      <w:tr>
        <w:tc>
          <w:tcPr>
            <w:tcW w:type="dxa" w:w="1728"/>
          </w:tcPr>
          <w:p>
            <w:r>
              <w:t>convertedEmployeeId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@unique</w:t>
            </w:r>
            <w:r>
              <w:t>, FK → Employee; guards against double-conversion</w:t>
            </w:r>
          </w:p>
        </w:tc>
      </w:tr>
      <w:tr>
        <w:tc>
          <w:tcPr>
            <w:tcW w:type="dxa" w:w="1728"/>
          </w:tcPr>
          <w:p>
            <w:r>
              <w:t>appliedAt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t>HR — payroll</w:t>
      </w:r>
    </w:p>
    <w:p>
      <w:pPr>
        <w:pStyle w:val="Heading3"/>
      </w:pPr>
      <w:r>
        <w:t>PayrollPeriod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First-of-month; Dec 1 of the target year for THIRTEENTH_MONTH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PayrollPeriodType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REGULAR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PayrollPeriodStatus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DRAFT</w:t>
            </w:r>
          </w:p>
        </w:tc>
        <w:tc>
          <w:tcPr>
            <w:tcW w:type="dxa" w:w="1728"/>
          </w:tcPr>
          <w:p>
            <w:r>
              <w:t>DRAFT → COMPUTED → FINALIZED</w:t>
            </w:r>
          </w:p>
        </w:tc>
      </w:tr>
      <w:tr>
        <w:tc>
          <w:tcPr>
            <w:tcW w:type="dxa" w:w="1728"/>
          </w:tcPr>
          <w:p>
            <w:r>
              <w:t>createdByUserId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</w:t>
            </w:r>
          </w:p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finalizedAt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@@unique([month, type])</w:t>
            </w:r>
            <w:r>
              <w:t xml:space="preserve"> — lets a REGULAR and THIRTEENTH_MONTH period coexist in the same month</w:t>
            </w:r>
          </w:p>
        </w:tc>
      </w:tr>
    </w:tbl>
    <w:p>
      <w:pPr>
        <w:pStyle w:val="Heading3"/>
      </w:pPr>
      <w:r>
        <w:t>Payslip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periodId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PayrollPeriod, Cascade</w:t>
            </w:r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</w:t>
            </w:r>
          </w:p>
        </w:tc>
      </w:tr>
      <w:tr>
        <w:tc>
          <w:tcPr>
            <w:tcW w:type="dxa" w:w="1728"/>
          </w:tcPr>
          <w:p>
            <w:r>
              <w:t>basicSalaryUgx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Snapshotted — prorated for THIRTEENTH_MONTH</w:t>
            </w:r>
          </w:p>
        </w:tc>
      </w:tr>
      <w:tr>
        <w:tc>
          <w:tcPr>
            <w:tcW w:type="dxa" w:w="1728"/>
          </w:tcPr>
          <w:p>
            <w:r>
              <w:t>taxableAllowancesUgx / nonTaxableAllowancesUgx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overtimeUgx / bonusUgx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grossPayUgx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Display total (taxable gross + non-taxable allowances)</w:t>
            </w:r>
          </w:p>
        </w:tc>
      </w:tr>
      <w:tr>
        <w:tc>
          <w:tcPr>
            <w:tcW w:type="dxa" w:w="1728"/>
          </w:tcPr>
          <w:p>
            <w:r>
              <w:t>payeTaxUgx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nssfEmployeeUgx / nssfEmployerUgx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Computed on </w:t>
            </w:r>
            <w:r>
              <w:rPr>
                <w:rFonts w:ascii="Consolas" w:hAnsi="Consolas"/>
                <w:sz w:val="20"/>
              </w:rPr>
              <w:t>basicSalaryUgx</w:t>
            </w:r>
            <w:r>
              <w:t xml:space="preserve"> only — documented simplification</w:t>
            </w:r>
          </w:p>
        </w:tc>
      </w:tr>
      <w:tr>
        <w:tc>
          <w:tcPr>
            <w:tcW w:type="dxa" w:w="1728"/>
          </w:tcPr>
          <w:p>
            <w:r>
              <w:t>penaltyUgx / advanceRepaymentUgx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netPayUgx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computedAt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@@unique([periodId, employeeId])</w:t>
            </w:r>
          </w:p>
        </w:tc>
      </w:tr>
    </w:tbl>
    <w:p>
      <w:pPr>
        <w:pStyle w:val="Heading3"/>
      </w:pPr>
      <w:r>
        <w:t>EmployeeAllowance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Employee, Cascade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AllowanceType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OTHER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amountUgx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taxable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Controls PAYE-chargeable vs. straight-to-net</w:t>
            </w:r>
          </w:p>
        </w:tc>
      </w:tr>
      <w:tr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Applied to every regular run while active</w:t>
            </w:r>
          </w:p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SalaryAdvance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</w:t>
            </w:r>
          </w:p>
        </w:tc>
      </w:tr>
      <w:tr>
        <w:tc>
          <w:tcPr>
            <w:tcW w:type="dxa" w:w="1728"/>
          </w:tcPr>
          <w:p>
            <w:r>
              <w:t>principalUgx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balanceRemainingUgx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Only decremented at </w:t>
            </w:r>
            <w:r>
              <w:rPr>
                <w:rFonts w:ascii="Consolas" w:hAnsi="Consolas"/>
                <w:sz w:val="20"/>
              </w:rPr>
              <w:t>PayrollService.finalize()</w:t>
            </w:r>
            <w:r>
              <w:t xml:space="preserve"> — re-running a not-yet-finalized period doesn't mutate it</w:t>
            </w:r>
          </w:p>
        </w:tc>
      </w:tr>
      <w:tr>
        <w:tc>
          <w:tcPr>
            <w:tcW w:type="dxa" w:w="1728"/>
          </w:tcPr>
          <w:p>
            <w:r>
              <w:t>monthlyInstallmentUgx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SalaryAdvanceStatus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issuedAt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approvedByUserId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</w:t>
            </w:r>
          </w:p>
        </w:tc>
      </w:tr>
      <w:tr>
        <w:tc>
          <w:tcPr>
            <w:tcW w:type="dxa" w:w="1728"/>
          </w:tcPr>
          <w:p>
            <w:r>
              <w:t>note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PayslipAdvanceRepayment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payslipId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Payslip, Cascade</w:t>
            </w:r>
          </w:p>
        </w:tc>
      </w:tr>
      <w:tr>
        <w:tc>
          <w:tcPr>
            <w:tcW w:type="dxa" w:w="1728"/>
          </w:tcPr>
          <w:p>
            <w:r>
              <w:t>advanceId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SalaryAdvance</w:t>
            </w:r>
          </w:p>
        </w:tc>
      </w:tr>
      <w:tr>
        <w:tc>
          <w:tcPr>
            <w:tcW w:type="dxa" w:w="1728"/>
          </w:tcPr>
          <w:p>
            <w:r>
              <w:t>amountUgx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Snapshotted per payslip, not recomputed at finalize time</w:t>
            </w:r>
          </w:p>
        </w:tc>
      </w:tr>
    </w:tbl>
    <w:p>
      <w:pPr>
        <w:pStyle w:val="Heading3"/>
      </w:pPr>
      <w:r>
        <w:t>PayrollAdjustment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periodId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PayrollPeriod, Cascade</w:t>
            </w:r>
          </w:p>
        </w:tc>
      </w:tr>
      <w:tr>
        <w:tc>
          <w:tcPr>
            <w:tcW w:type="dxa" w:w="1728"/>
          </w:tcPr>
          <w:p>
            <w:r>
              <w:t>employeeId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Employee</w:t>
            </w:r>
          </w:p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PayrollAdjustmentType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label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amountUgx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taxable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>
            <w:r>
              <w:t>Only meaningful for BONUS/OVERTIME/OTHER_EARNING — deductions are always post-tax</w:t>
            </w:r>
          </w:p>
        </w:tc>
      </w:tr>
      <w:tr>
        <w:tc>
          <w:tcPr>
            <w:tcW w:type="dxa" w:w="1728"/>
          </w:tcPr>
          <w:p>
            <w:r>
              <w:t>createdByUserId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User</w:t>
            </w:r>
          </w:p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t>Activity log / audit trail</w:t>
      </w:r>
    </w:p>
    <w:p>
      <w:pPr>
        <w:pStyle w:val="Heading3"/>
      </w:pPr>
      <w:r>
        <w:t>ActivityLog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actorUserId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 a real FK</w:t>
            </w:r>
            <w:r>
              <w:t xml:space="preserve"> — plain string, snapshotted</w:t>
            </w:r>
          </w:p>
        </w:tc>
      </w:tr>
      <w:tr>
        <w:tc>
          <w:tcPr>
            <w:tcW w:type="dxa" w:w="1728"/>
          </w:tcPr>
          <w:p>
            <w:r>
              <w:t>actorRole</w:t>
            </w:r>
          </w:p>
        </w:tc>
        <w:tc>
          <w:tcPr>
            <w:tcW w:type="dxa" w:w="1728"/>
          </w:tcPr>
          <w:p>
            <w:r>
              <w:t>UserRole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Snapshotted — a later role change doesn't rewrite past entries</w:t>
            </w:r>
          </w:p>
        </w:tc>
      </w:tr>
      <w:tr>
        <w:tc>
          <w:tcPr>
            <w:tcW w:type="dxa" w:w="1728"/>
          </w:tcPr>
          <w:p>
            <w:r>
              <w:t>actorType</w:t>
            </w:r>
          </w:p>
        </w:tc>
        <w:tc>
          <w:tcPr>
            <w:tcW w:type="dxa" w:w="1728"/>
          </w:tcPr>
          <w:p>
            <w:r>
              <w:t>ActivityActorType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CUSTOMER / STAFF / SYSTEM</w:t>
            </w:r>
          </w:p>
        </w:tc>
      </w:tr>
      <w:tr>
        <w:tc>
          <w:tcPr>
            <w:tcW w:type="dxa" w:w="1728"/>
          </w:tcPr>
          <w:p>
            <w:r>
              <w:t>action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Machine-readable code, e.g. </w:t>
            </w:r>
            <w:r>
              <w:rPr>
                <w:rFonts w:ascii="Consolas" w:hAnsi="Consolas"/>
                <w:sz w:val="20"/>
              </w:rPr>
              <w:t>CUSTOMER_SUSPENDED</w:t>
            </w:r>
            <w:r>
              <w:t xml:space="preserve">, </w:t>
            </w:r>
            <w:r>
              <w:rPr>
                <w:rFonts w:ascii="Consolas" w:hAnsi="Consolas"/>
                <w:sz w:val="20"/>
              </w:rPr>
              <w:t>ORDER_STATUS_CHANGED</w:t>
            </w:r>
          </w:p>
        </w:tc>
      </w:tr>
      <w:tr>
        <w:tc>
          <w:tcPr>
            <w:tcW w:type="dxa" w:w="1728"/>
          </w:tcPr>
          <w:p>
            <w:r>
              <w:t>entityType / entityId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metadata</w:t>
            </w:r>
          </w:p>
        </w:tc>
        <w:tc>
          <w:tcPr>
            <w:tcW w:type="dxa" w:w="1728"/>
          </w:tcPr>
          <w:p>
            <w:r>
              <w:t>Json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Must never contain passwords/tokens/secrets</w:t>
            </w:r>
          </w:p>
        </w:tc>
      </w:tr>
      <w:tr>
        <w:tc>
          <w:tcPr>
            <w:tcW w:type="dxa" w:w="1728"/>
          </w:tcPr>
          <w:p>
            <w:r>
              <w:t>ipAddress / userAgent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@@index</w:t>
            </w:r>
            <w:r>
              <w:t xml:space="preserve"> on actorUserId, </w:t>
            </w:r>
            <w:r>
              <w:rPr>
                <w:rFonts w:ascii="Consolas" w:hAnsi="Consolas"/>
                <w:sz w:val="20"/>
              </w:rPr>
              <w:t>[entityType, entityId]</w:t>
            </w:r>
            <w:r>
              <w:t>, action, createdAt</w:t>
            </w:r>
          </w:p>
        </w:tc>
      </w:tr>
    </w:tbl>
    <w:p>
      <w:pPr>
        <w:pStyle w:val="Heading2"/>
      </w:pPr>
      <w:r>
        <w:t>Financial &amp; accounting (multi-entity)</w:t>
      </w:r>
    </w:p>
    <w:p>
      <w:pPr>
        <w:pStyle w:val="Heading3"/>
      </w:pPr>
      <w:r>
        <w:t>LegalEntity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name / code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Both </w:t>
            </w:r>
            <w:r>
              <w:rPr>
                <w:rFonts w:ascii="Consolas" w:hAnsi="Consolas"/>
                <w:sz w:val="20"/>
              </w:rPr>
              <w:t>@unique</w:t>
            </w:r>
          </w:p>
        </w:tc>
      </w:tr>
      <w:tr>
        <w:tc>
          <w:tcPr>
            <w:tcW w:type="dxa" w:w="1728"/>
          </w:tcPr>
          <w:p>
            <w:r>
              <w:t>functionalCurrency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ISO 4217</w:t>
            </w:r>
          </w:p>
        </w:tc>
      </w:tr>
      <w:tr>
        <w:tc>
          <w:tcPr>
            <w:tcW w:type="dxa" w:w="1728"/>
          </w:tcPr>
          <w:p>
            <w:r>
              <w:t>parentEntityId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LegalEntity (self); null = the group's ultimate parent</w:t>
            </w:r>
          </w:p>
        </w:tc>
      </w:tr>
      <w:tr>
        <w:tc>
          <w:tcPr>
            <w:tcW w:type="dxa" w:w="1728"/>
          </w:tcPr>
          <w:p>
            <w:r>
              <w:t>currentGroupFxRate</w:t>
            </w:r>
          </w:p>
        </w:tc>
        <w:tc>
          <w:tcPr>
            <w:tcW w:type="dxa" w:w="1728"/>
          </w:tcPr>
          <w:p>
            <w:r>
              <w:t>Decimal(18,6)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 live FX feed — re-priced manually; period-snapshotting is follow-up work</w:t>
            </w:r>
          </w:p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GroupSettings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reportingCurrency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"UGX"</w:t>
            </w:r>
          </w:p>
        </w:tc>
        <w:tc>
          <w:tcPr>
            <w:tcW w:type="dxa" w:w="1728"/>
          </w:tcPr>
          <w:p>
            <w:r>
              <w:t>Singleton — always read as the first row, no UI/API to create a second</w:t>
            </w:r>
          </w:p>
        </w:tc>
      </w:tr>
      <w:tr>
        <w:tc>
          <w:tcPr>
            <w:tcW w:type="dxa" w:w="1728"/>
          </w:tcPr>
          <w:p>
            <w:r>
              <w:t>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auto</w:t>
            </w:r>
          </w:p>
        </w:tc>
        <w:tc>
          <w:tcPr>
            <w:tcW w:type="dxa" w:w="1728"/>
          </w:tcPr>
          <w:p/>
        </w:tc>
      </w:tr>
    </w:tbl>
    <w:p>
      <w:pPr>
        <w:pStyle w:val="Heading3"/>
      </w:pPr>
      <w:r>
        <w:t>Account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entityId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LegalEntity</w:t>
            </w:r>
          </w:p>
        </w:tc>
      </w:tr>
      <w:tr>
        <w:tc>
          <w:tcPr>
            <w:tcW w:type="dxa" w:w="1728"/>
          </w:tcPr>
          <w:p>
            <w:r>
              <w:t>code / name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AccountType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ASSET/LIABILITY/EQUITY/REVENUE/EXPENSE</w:t>
            </w:r>
          </w:p>
        </w:tc>
      </w:tr>
      <w:tr>
        <w:tc>
          <w:tcPr>
            <w:tcW w:type="dxa" w:w="1728"/>
          </w:tcPr>
          <w:p>
            <w:r>
              <w:t>parentAccountId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Account (self)</w:t>
            </w:r>
          </w:p>
        </w:tc>
      </w:tr>
      <w:tr>
        <w:tc>
          <w:tcPr>
            <w:tcW w:type="dxa" w:w="1728"/>
          </w:tcPr>
          <w:p>
            <w:r>
              <w:t>cashFlowCategory</w:t>
            </w:r>
          </w:p>
        </w:tc>
        <w:tc>
          <w:tcPr>
            <w:tcW w:type="dxa" w:w="1728"/>
          </w:tcPr>
          <w:p>
            <w:r>
              <w:t>CashFlowCategory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Only meaningful for ASSET/LIABILITY</w:t>
            </w:r>
          </w:p>
        </w:tc>
      </w:tr>
      <w:tr>
        <w:tc>
          <w:tcPr>
            <w:tcW w:type="dxa" w:w="1728"/>
          </w:tcPr>
          <w:p>
            <w:r>
              <w:t>isIntercompany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false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counterpartyEntityId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LegalEntity — marks which entity an intercompany account nets against</w:t>
            </w:r>
          </w:p>
        </w:tc>
      </w:tr>
      <w:tr>
        <w:tc>
          <w:tcPr>
            <w:tcW w:type="dxa" w:w="1728"/>
          </w:tcPr>
          <w:p>
            <w:r>
              <w:t>isActive</w:t>
            </w:r>
          </w:p>
        </w:tc>
        <w:tc>
          <w:tcPr>
            <w:tcW w:type="dxa" w:w="1728"/>
          </w:tcPr>
          <w:p>
            <w:r>
              <w:t>Boolean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true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 / updatedAt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 / auto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@@unique([entityId, code])</w:t>
            </w:r>
          </w:p>
        </w:tc>
      </w:tr>
    </w:tbl>
    <w:p>
      <w:pPr>
        <w:pStyle w:val="Heading3"/>
      </w:pPr>
      <w:r>
        <w:t>FiscalPeriod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entityId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LegalEntity</w:t>
            </w:r>
          </w:p>
        </w:tc>
      </w:tr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First of month, UTC-midnight</w:t>
            </w:r>
          </w:p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FiscalPeriodStatus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OPEN</w:t>
            </w:r>
          </w:p>
        </w:tc>
        <w:tc>
          <w:tcPr>
            <w:tcW w:type="dxa" w:w="1728"/>
          </w:tcPr>
          <w:p>
            <w:r>
              <w:t>Journal entries can only post into an OPEN period</w:t>
            </w:r>
          </w:p>
        </w:tc>
      </w:tr>
      <w:tr>
        <w:tc>
          <w:tcPr>
            <w:tcW w:type="dxa" w:w="1728"/>
          </w:tcPr>
          <w:p>
            <w:r>
              <w:t>closedAt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@@unique([entityId, month])</w:t>
            </w:r>
          </w:p>
        </w:tc>
      </w:tr>
    </w:tbl>
    <w:p>
      <w:pPr>
        <w:pStyle w:val="Heading3"/>
      </w:pPr>
      <w:r>
        <w:t>JournalEntry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entityId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LegalEntity</w:t>
            </w:r>
          </w:p>
        </w:tc>
      </w:tr>
      <w:tr>
        <w:tc>
          <w:tcPr>
            <w:tcW w:type="dxa" w:w="1728"/>
          </w:tcPr>
          <w:p>
            <w:r>
              <w:t>fiscalPeriodId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FiscalPeriod</w:t>
            </w:r>
          </w:p>
        </w:tc>
      </w:tr>
      <w:tr>
        <w:tc>
          <w:tcPr>
            <w:tcW w:type="dxa" w:w="1728"/>
          </w:tcPr>
          <w:p>
            <w:r>
              <w:t>entryNumber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Sequential per entity — same race-window caveat as </w:t>
            </w:r>
            <w:r>
              <w:rPr>
                <w:rFonts w:ascii="Consolas" w:hAnsi="Consolas"/>
                <w:sz w:val="20"/>
              </w:rPr>
              <w:t>Order.orderNumber</w:t>
            </w:r>
          </w:p>
        </w:tc>
      </w:tr>
      <w:tr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JournalEntryStatus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POSTED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fxRateToGroupCurrency</w:t>
            </w:r>
          </w:p>
        </w:tc>
        <w:tc>
          <w:tcPr>
            <w:tcW w:type="dxa" w:w="1728"/>
          </w:tcPr>
          <w:p>
            <w:r>
              <w:t>Decimal(18,6)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Snapshotted at posting time</w:t>
            </w:r>
          </w:p>
        </w:tc>
      </w:tr>
      <w:tr>
        <w:tc>
          <w:tcPr>
            <w:tcW w:type="dxa" w:w="1728"/>
          </w:tcPr>
          <w:p>
            <w:r>
              <w:t>intercompanyGroupId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Links the linked entries of one intercompany transaction across entities</w:t>
            </w:r>
          </w:p>
        </w:tc>
      </w:tr>
      <w:tr>
        <w:tc>
          <w:tcPr>
            <w:tcW w:type="dxa" w:w="1728"/>
          </w:tcPr>
          <w:p>
            <w:r>
              <w:t>createdByUserId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 xml:space="preserve">Plain string, not a </w:t>
            </w:r>
            <w:r>
              <w:rPr>
                <w:rFonts w:ascii="Consolas" w:hAnsi="Consolas"/>
                <w:sz w:val="20"/>
              </w:rPr>
              <w:t>@relation</w:t>
            </w:r>
            <w:r>
              <w:t xml:space="preserve"> (unusual for this schema — see the ERD doc's callout list)</w:t>
            </w:r>
          </w:p>
        </w:tc>
      </w:tr>
      <w:tr>
        <w:tc>
          <w:tcPr>
            <w:tcW w:type="dxa" w:w="1728"/>
          </w:tcPr>
          <w:p>
            <w:r>
              <w:t>createdAt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rFonts w:ascii="Consolas" w:hAnsi="Consolas"/>
                <w:sz w:val="20"/>
              </w:rPr>
              <w:t>@@unique([entityId, entryNumber])</w:t>
            </w:r>
          </w:p>
        </w:tc>
      </w:tr>
    </w:tbl>
    <w:p>
      <w:pPr>
        <w:pStyle w:val="Heading3"/>
      </w:pPr>
      <w:r>
        <w:t>JournalEntryLine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journalEntryId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JournalEntry, Cascade</w:t>
            </w:r>
          </w:p>
        </w:tc>
      </w:tr>
      <w:tr>
        <w:tc>
          <w:tcPr>
            <w:tcW w:type="dxa" w:w="1728"/>
          </w:tcPr>
          <w:p>
            <w:r>
              <w:t>accountId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FK → Account</w:t>
            </w:r>
          </w:p>
        </w:tc>
      </w:tr>
      <w:tr>
        <w:tc>
          <w:tcPr>
            <w:tcW w:type="dxa" w:w="1728"/>
          </w:tcPr>
          <w:p>
            <w:r>
              <w:t>debitAmount / creditAmount</w:t>
            </w:r>
          </w:p>
        </w:tc>
        <w:tc>
          <w:tcPr>
            <w:tcW w:type="dxa" w:w="1728"/>
          </w:tcPr>
          <w:p>
            <w:r>
              <w:t>Decimal(18,2)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 xml:space="preserve">Exactly one non-zero — enforced in </w:t>
            </w:r>
            <w:r>
              <w:rPr>
                <w:rFonts w:ascii="Consolas" w:hAnsi="Consolas"/>
                <w:sz w:val="20"/>
              </w:rPr>
              <w:t>JournalService</w:t>
            </w:r>
            <w:r>
              <w:t>, not a DB constraint</w:t>
            </w:r>
          </w:p>
        </w:tc>
      </w:tr>
      <w:tr>
        <w:tc>
          <w:tcPr>
            <w:tcW w:type="dxa" w:w="1728"/>
          </w:tcPr>
          <w:p>
            <w:r>
              <w:t>memo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</w:tbl>
    <w:p>
      <w:pPr>
        <w:pStyle w:val="Heading2"/>
      </w:pPr>
      <w:r>
        <w:t>Marketplace &amp; payments (cont'd) — Exchange rate audit</w:t>
      </w:r>
    </w:p>
    <w:p>
      <w:pPr>
        <w:pStyle w:val="Heading3"/>
      </w:pPr>
      <w:r>
        <w:t>ExchangeRateHistory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Default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legalEntityId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 a real FK</w:t>
            </w:r>
            <w:r>
              <w:t xml:space="preserve"> — plain string</w:t>
            </w:r>
          </w:p>
        </w:tc>
      </w:tr>
      <w:tr>
        <w:tc>
          <w:tcPr>
            <w:tcW w:type="dxa" w:w="1728"/>
          </w:tcPr>
          <w:p>
            <w:r>
              <w:t>fromRate / toRate</w:t>
            </w:r>
          </w:p>
        </w:tc>
        <w:tc>
          <w:tcPr>
            <w:tcW w:type="dxa" w:w="1728"/>
          </w:tcPr>
          <w:p>
            <w:r>
              <w:t>Decimal(18,6)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changedByUserId</w:t>
            </w:r>
          </w:p>
        </w:tc>
        <w:tc>
          <w:tcPr>
            <w:tcW w:type="dxa" w:w="1728"/>
          </w:tcPr>
          <w:p>
            <w:r>
              <w:t>String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 a real FK</w:t>
            </w:r>
            <w:r>
              <w:t xml:space="preserve"> — plain string</w:t>
            </w:r>
          </w:p>
        </w:tc>
      </w:tr>
      <w:tr>
        <w:tc>
          <w:tcPr>
            <w:tcW w:type="dxa" w:w="1728"/>
          </w:tcPr>
          <w:p>
            <w:r>
              <w:t>changedAt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now()</w:t>
            </w:r>
          </w:p>
        </w:tc>
        <w:tc>
          <w:tcPr>
            <w:tcW w:type="dxa" w:w="1728"/>
          </w:tcPr>
          <w:p>
            <w:r>
              <w:t xml:space="preserve">Written every time </w:t>
            </w:r>
            <w:r>
              <w:rPr>
                <w:rFonts w:ascii="Consolas" w:hAnsi="Consolas"/>
                <w:sz w:val="20"/>
              </w:rPr>
              <w:t>LegalEntity.currentGroupFxRate</w:t>
            </w:r>
            <w:r>
              <w:t xml:space="preserve"> changes — the audit trail of how the live rate got there</w:t>
            </w:r>
          </w:p>
        </w:tc>
      </w:tr>
    </w:tbl>
    <w:p>
      <w:pPr>
        <w:pStyle w:val="Heading2"/>
      </w:pPr>
      <w:r>
        <w:t>Enums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Enum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UserRole</w:t>
            </w:r>
          </w:p>
        </w:tc>
        <w:tc>
          <w:tcPr>
            <w:tcW w:type="dxa" w:w="2880"/>
          </w:tcPr>
          <w:p>
            <w:r>
              <w:t>CUSTOMER, OWNER, STORE_MANAGER, FULFILLMENT, SUPPORT_AGENT, HR_MANAGER, DRIVER</w:t>
            </w:r>
          </w:p>
        </w:tc>
        <w:tc>
          <w:tcPr>
            <w:tcW w:type="dxa" w:w="2880"/>
          </w:tcPr>
          <w:p>
            <w:r>
              <w:t xml:space="preserve">Access-control role, staff + customer. </w:t>
            </w:r>
            <w:r>
              <w:rPr>
                <w:rFonts w:ascii="Consolas" w:hAnsi="Consolas"/>
                <w:sz w:val="20"/>
              </w:rPr>
              <w:t>DRIVER</w:t>
            </w:r>
            <w:r>
              <w:t xml:space="preserve"> added commit </w:t>
            </w:r>
            <w:r>
              <w:rPr>
                <w:rFonts w:ascii="Consolas" w:hAnsi="Consolas"/>
                <w:sz w:val="20"/>
              </w:rPr>
              <w:t>75b7cff</w:t>
            </w:r>
            <w:r>
              <w:t xml:space="preserve"> (Driver App, not in original SRS)</w:t>
            </w:r>
          </w:p>
        </w:tc>
      </w:tr>
      <w:tr>
        <w:tc>
          <w:tcPr>
            <w:tcW w:type="dxa" w:w="2880"/>
          </w:tcPr>
          <w:p>
            <w:r>
              <w:t>CustomerTier</w:t>
            </w:r>
          </w:p>
        </w:tc>
        <w:tc>
          <w:tcPr>
            <w:tcW w:type="dxa" w:w="2880"/>
          </w:tcPr>
          <w:p>
            <w:r>
              <w:t>STANDARD, GOLD, WHOLESALE</w:t>
            </w:r>
          </w:p>
        </w:tc>
        <w:tc>
          <w:tcPr>
            <w:tcW w:type="dxa" w:w="2880"/>
          </w:tcPr>
          <w:p>
            <w:r>
              <w:t>Loyalty/pricing tier</w:t>
            </w:r>
          </w:p>
        </w:tc>
      </w:tr>
      <w:tr>
        <w:tc>
          <w:tcPr>
            <w:tcW w:type="dxa" w:w="2880"/>
          </w:tcPr>
          <w:p>
            <w:r>
              <w:t>NotificationType</w:t>
            </w:r>
          </w:p>
        </w:tc>
        <w:tc>
          <w:tcPr>
            <w:tcW w:type="dxa" w:w="2880"/>
          </w:tcPr>
          <w:p>
            <w:r>
              <w:t>NEWSLETTER</w:t>
            </w:r>
          </w:p>
        </w:tc>
        <w:tc>
          <w:tcPr>
            <w:tcW w:type="dxa" w:w="2880"/>
          </w:tcPr>
          <w:p>
            <w:r>
              <w:t>In-app notification discriminator</w:t>
            </w:r>
          </w:p>
        </w:tc>
      </w:tr>
      <w:tr>
        <w:tc>
          <w:tcPr>
            <w:tcW w:type="dxa" w:w="2880"/>
          </w:tcPr>
          <w:p>
            <w:r>
              <w:t>OtpChannel</w:t>
            </w:r>
          </w:p>
        </w:tc>
        <w:tc>
          <w:tcPr>
            <w:tcW w:type="dxa" w:w="2880"/>
          </w:tcPr>
          <w:p>
            <w:r>
              <w:t>EMAIL, SMS</w:t>
            </w:r>
          </w:p>
        </w:tc>
        <w:tc>
          <w:tcPr>
            <w:tcW w:type="dxa" w:w="2880"/>
          </w:tcPr>
          <w:p>
            <w:r>
              <w:t>Registration OTP delivery channel</w:t>
            </w:r>
          </w:p>
        </w:tc>
      </w:tr>
      <w:tr>
        <w:tc>
          <w:tcPr>
            <w:tcW w:type="dxa" w:w="2880"/>
          </w:tcPr>
          <w:p>
            <w:r>
              <w:t>OtpPurpose</w:t>
            </w:r>
          </w:p>
        </w:tc>
        <w:tc>
          <w:tcPr>
            <w:tcW w:type="dxa" w:w="2880"/>
          </w:tcPr>
          <w:p>
            <w:r>
              <w:t>REGISTRATION</w:t>
            </w:r>
          </w:p>
        </w:tc>
        <w:tc>
          <w:tcPr>
            <w:tcW w:type="dxa" w:w="2880"/>
          </w:tcPr>
          <w:p>
            <w:r>
              <w:t>Only value in use</w:t>
            </w:r>
          </w:p>
        </w:tc>
      </w:tr>
      <w:tr>
        <w:tc>
          <w:tcPr>
            <w:tcW w:type="dxa" w:w="2880"/>
          </w:tcPr>
          <w:p>
            <w:r>
              <w:t>AddressType</w:t>
            </w:r>
          </w:p>
        </w:tc>
        <w:tc>
          <w:tcPr>
            <w:tcW w:type="dxa" w:w="2880"/>
          </w:tcPr>
          <w:p>
            <w:r>
              <w:t>SHIPPING, BILLING</w:t>
            </w:r>
          </w:p>
        </w:tc>
        <w:tc>
          <w:tcPr>
            <w:tcW w:type="dxa" w:w="2880"/>
          </w:tcPr>
          <w:p>
            <w:r>
              <w:t xml:space="preserve">Scopes </w:t>
            </w:r>
            <w:r>
              <w:rPr>
                <w:rFonts w:ascii="Consolas" w:hAnsi="Consolas"/>
                <w:sz w:val="20"/>
              </w:rPr>
              <w:t>Address.isDefault</w:t>
            </w:r>
          </w:p>
        </w:tc>
      </w:tr>
      <w:tr>
        <w:tc>
          <w:tcPr>
            <w:tcW w:type="dxa" w:w="2880"/>
          </w:tcPr>
          <w:p>
            <w:r>
              <w:t>PaymentMethodType</w:t>
            </w:r>
          </w:p>
        </w:tc>
        <w:tc>
          <w:tcPr>
            <w:tcW w:type="dxa" w:w="2880"/>
          </w:tcPr>
          <w:p>
            <w:r>
              <w:t>MOBILE_MONEY, CARD, PAYPAL</w:t>
            </w:r>
          </w:p>
        </w:tc>
        <w:tc>
          <w:tcPr>
            <w:tcW w:type="dxa" w:w="2880"/>
          </w:tcPr>
          <w:p>
            <w:r>
              <w:t>Only MOBILE_MONEY fully supported</w:t>
            </w:r>
          </w:p>
        </w:tc>
      </w:tr>
      <w:tr>
        <w:tc>
          <w:tcPr>
            <w:tcW w:type="dxa" w:w="2880"/>
          </w:tcPr>
          <w:p>
            <w:r>
              <w:t>ProductStatus</w:t>
            </w:r>
          </w:p>
        </w:tc>
        <w:tc>
          <w:tcPr>
            <w:tcW w:type="dxa" w:w="2880"/>
          </w:tcPr>
          <w:p>
            <w:r>
              <w:t>DRAFT, ACTIVE, ARCHIVED</w:t>
            </w:r>
          </w:p>
        </w:tc>
        <w:tc>
          <w:tcPr>
            <w:tcW w:type="dxa" w:w="2880"/>
          </w:tcPr>
          <w:p>
            <w:r>
              <w:t>ARCHIVED replaces hard-delete once order history exists</w:t>
            </w:r>
          </w:p>
        </w:tc>
      </w:tr>
      <w:tr>
        <w:tc>
          <w:tcPr>
            <w:tcW w:type="dxa" w:w="2880"/>
          </w:tcPr>
          <w:p>
            <w:r>
              <w:t>OrderStatus</w:t>
            </w:r>
          </w:p>
        </w:tc>
        <w:tc>
          <w:tcPr>
            <w:tcW w:type="dxa" w:w="2880"/>
          </w:tcPr>
          <w:p>
            <w:r>
              <w:t>PENDING, PROCESSING, SHIPPED, DELIVERED, REFUND_REQUESTED, REFUNDED, CANCELLED</w:t>
            </w:r>
          </w:p>
        </w:tc>
        <w:tc>
          <w:tcPr>
            <w:tcW w:type="dxa" w:w="2880"/>
          </w:tcPr>
          <w:p>
            <w:r>
              <w:t>Governed by an explicit transition state machine</w:t>
            </w:r>
          </w:p>
        </w:tc>
      </w:tr>
      <w:tr>
        <w:tc>
          <w:tcPr>
            <w:tcW w:type="dxa" w:w="2880"/>
          </w:tcPr>
          <w:p>
            <w:r>
              <w:t>DeliveryStatus</w:t>
            </w:r>
          </w:p>
        </w:tc>
        <w:tc>
          <w:tcPr>
            <w:tcW w:type="dxa" w:w="2880"/>
          </w:tcPr>
          <w:p>
            <w:r>
              <w:t>ASSIGNED, EN_ROUTE_TO_PICKUP, PICKED_UP, EN_ROUTE_TO_CUSTOMER, DELIVERED, FAILED</w:t>
            </w:r>
          </w:p>
        </w:tc>
        <w:tc>
          <w:tcPr>
            <w:tcW w:type="dxa" w:w="2880"/>
          </w:tcPr>
          <w:p>
            <w:r>
              <w:t xml:space="preserve">Driver App (commit </w:t>
            </w:r>
            <w:r>
              <w:rPr>
                <w:rFonts w:ascii="Consolas" w:hAnsi="Consolas"/>
                <w:sz w:val="20"/>
              </w:rPr>
              <w:t>75b7cff</w:t>
            </w:r>
            <w:r>
              <w:t xml:space="preserve">, not in original SRS) — </w:t>
            </w:r>
            <w:r>
              <w:rPr>
                <w:rFonts w:ascii="Consolas" w:hAnsi="Consolas"/>
                <w:sz w:val="20"/>
              </w:rPr>
              <w:t>PICKED_UP</w:t>
            </w:r>
            <w:r>
              <w:t>/</w:t>
            </w:r>
            <w:r>
              <w:rPr>
                <w:rFonts w:ascii="Consolas" w:hAnsi="Consolas"/>
                <w:sz w:val="20"/>
              </w:rPr>
              <w:t>DELIVERED</w:t>
            </w:r>
            <w:r>
              <w:t xml:space="preserve"> mirror onto </w:t>
            </w:r>
            <w:r>
              <w:rPr>
                <w:rFonts w:ascii="Consolas" w:hAnsi="Consolas"/>
                <w:sz w:val="20"/>
              </w:rPr>
              <w:t>Order.status</w:t>
            </w:r>
            <w:r>
              <w:t xml:space="preserve"> (SHIPPED/DELIVERED respectively); </w:t>
            </w:r>
            <w:r>
              <w:rPr>
                <w:rFonts w:ascii="Consolas" w:hAnsi="Consolas"/>
                <w:sz w:val="20"/>
              </w:rPr>
              <w:t>FAILED</w:t>
            </w:r>
            <w:r>
              <w:t xml:space="preserve"> reachable from any in-progress state, terminal like </w:t>
            </w:r>
            <w:r>
              <w:rPr>
                <w:rFonts w:ascii="Consolas" w:hAnsi="Consolas"/>
                <w:sz w:val="20"/>
              </w:rPr>
              <w:t>DELIVERED</w:t>
            </w:r>
          </w:p>
        </w:tc>
      </w:tr>
      <w:tr>
        <w:tc>
          <w:tcPr>
            <w:tcW w:type="dxa" w:w="2880"/>
          </w:tcPr>
          <w:p>
            <w:r>
              <w:t>DriverStatus</w:t>
            </w:r>
          </w:p>
        </w:tc>
        <w:tc>
          <w:tcPr>
            <w:tcW w:type="dxa" w:w="2880"/>
          </w:tcPr>
          <w:p>
            <w:r>
              <w:t>OFFLINE, AVAILABLE, ON_DELIVERY</w:t>
            </w:r>
          </w:p>
        </w:tc>
        <w:tc>
          <w:tcPr>
            <w:tcW w:type="dxa" w:w="2880"/>
          </w:tcPr>
          <w:p>
            <w:r>
              <w:t xml:space="preserve">Added commit </w:t>
            </w:r>
            <w:r>
              <w:rPr>
                <w:rFonts w:ascii="Consolas" w:hAnsi="Consolas"/>
                <w:sz w:val="20"/>
              </w:rPr>
              <w:t>445a258</w:t>
            </w:r>
            <w:r>
              <w:t xml:space="preserve"> — self-reported driver availability, </w:t>
            </w:r>
            <w:r>
              <w:rPr>
                <w:rFonts w:ascii="Consolas" w:hAnsi="Consolas"/>
                <w:sz w:val="20"/>
              </w:rPr>
              <w:t>User.driverStatus</w:t>
            </w:r>
          </w:p>
        </w:tc>
      </w:tr>
      <w:tr>
        <w:tc>
          <w:tcPr>
            <w:tcW w:type="dxa" w:w="2880"/>
          </w:tcPr>
          <w:p>
            <w:r>
              <w:t>DeliveryPriority</w:t>
            </w:r>
          </w:p>
        </w:tc>
        <w:tc>
          <w:tcPr>
            <w:tcW w:type="dxa" w:w="2880"/>
          </w:tcPr>
          <w:p>
            <w:r>
              <w:t>NORMAL, URGENT</w:t>
            </w:r>
          </w:p>
        </w:tc>
        <w:tc>
          <w:tcPr>
            <w:tcW w:type="dxa" w:w="2880"/>
          </w:tcPr>
          <w:p>
            <w:r>
              <w:t xml:space="preserve">Added commit </w:t>
            </w:r>
            <w:r>
              <w:rPr>
                <w:rFonts w:ascii="Consolas" w:hAnsi="Consolas"/>
                <w:sz w:val="20"/>
              </w:rPr>
              <w:t>445a258</w:t>
            </w:r>
            <w:r>
              <w:t xml:space="preserve"> — set at assignment, ordering hint for the driver's own list</w:t>
            </w:r>
          </w:p>
        </w:tc>
      </w:tr>
      <w:tr>
        <w:tc>
          <w:tcPr>
            <w:tcW w:type="dxa" w:w="2880"/>
          </w:tcPr>
          <w:p>
            <w:r>
              <w:t>DeliveryMethod</w:t>
            </w:r>
          </w:p>
        </w:tc>
        <w:tc>
          <w:tcPr>
            <w:tcW w:type="dxa" w:w="2880"/>
          </w:tcPr>
          <w:p>
            <w:r>
              <w:t>STANDARD, EXPRESS, SAME_DAY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CouponType</w:t>
            </w:r>
          </w:p>
        </w:tc>
        <w:tc>
          <w:tcPr>
            <w:tcW w:type="dxa" w:w="2880"/>
          </w:tcPr>
          <w:p>
            <w:r>
              <w:t>PERCENT_OFF, FIXED_OFF, FREE_SHIPPING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TicketStatus</w:t>
            </w:r>
          </w:p>
        </w:tc>
        <w:tc>
          <w:tcPr>
            <w:tcW w:type="dxa" w:w="2880"/>
          </w:tcPr>
          <w:p>
            <w:r>
              <w:t>OPEN, IN_PROGRESS, RESOLVED, CLOSED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CmsStatus</w:t>
            </w:r>
          </w:p>
        </w:tc>
        <w:tc>
          <w:tcPr>
            <w:tcW w:type="dxa" w:w="2880"/>
          </w:tcPr>
          <w:p>
            <w:r>
              <w:t>DRAFT, PUBLISHED</w:t>
            </w:r>
          </w:p>
        </w:tc>
        <w:tc>
          <w:tcPr>
            <w:tcW w:type="dxa" w:w="2880"/>
          </w:tcPr>
          <w:p>
            <w:r>
              <w:t>Shared by CmsPage/BlogPost</w:t>
            </w:r>
          </w:p>
        </w:tc>
      </w:tr>
      <w:tr>
        <w:tc>
          <w:tcPr>
            <w:tcW w:type="dxa" w:w="2880"/>
          </w:tcPr>
          <w:p>
            <w:r>
              <w:t>EmploymentType</w:t>
            </w:r>
          </w:p>
        </w:tc>
        <w:tc>
          <w:tcPr>
            <w:tcW w:type="dxa" w:w="2880"/>
          </w:tcPr>
          <w:p>
            <w:r>
              <w:t>FULL_TIME, PART_TIME, CONTRACT, INTERN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EmploymentStatus</w:t>
            </w:r>
          </w:p>
        </w:tc>
        <w:tc>
          <w:tcPr>
            <w:tcW w:type="dxa" w:w="2880"/>
          </w:tcPr>
          <w:p>
            <w:r>
              <w:t>ACTIVE, ON_LEAVE, SUSPENDED, TERMINATED</w:t>
            </w:r>
          </w:p>
        </w:tc>
        <w:tc>
          <w:tcPr>
            <w:tcW w:type="dxa" w:w="2880"/>
          </w:tcPr>
          <w:p>
            <w:r>
              <w:t>TERMINATED is the "delete" for Employee</w:t>
            </w:r>
          </w:p>
        </w:tc>
      </w:tr>
      <w:tr>
        <w:tc>
          <w:tcPr>
            <w:tcW w:type="dxa" w:w="2880"/>
          </w:tcPr>
          <w:p>
            <w:r>
              <w:t>EmploymentChangeType</w:t>
            </w:r>
          </w:p>
        </w:tc>
        <w:tc>
          <w:tcPr>
            <w:tcW w:type="dxa" w:w="2880"/>
          </w:tcPr>
          <w:p>
            <w:r>
              <w:t>HIRED, PROMOTION, TRANSFER, SALARY_CHANGE, ROLE_CHANGE, SUSPENSION, REINSTATEMENT, TERMINATION, REHIRE</w:t>
            </w:r>
          </w:p>
        </w:tc>
        <w:tc>
          <w:tcPr>
            <w:tcW w:type="dxa" w:w="2880"/>
          </w:tcPr>
          <w:p>
            <w:r>
              <w:t xml:space="preserve">Drives auto-logged </w:t>
            </w:r>
            <w:r>
              <w:rPr>
                <w:rFonts w:ascii="Consolas" w:hAnsi="Consolas"/>
                <w:sz w:val="20"/>
              </w:rPr>
              <w:t>EmploymentHistoryEntry</w:t>
            </w:r>
            <w:r>
              <w:t xml:space="preserve"> rows</w:t>
            </w:r>
          </w:p>
        </w:tc>
      </w:tr>
      <w:tr>
        <w:tc>
          <w:tcPr>
            <w:tcW w:type="dxa" w:w="2880"/>
          </w:tcPr>
          <w:p>
            <w:r>
              <w:t>EmployeeDocumentType</w:t>
            </w:r>
          </w:p>
        </w:tc>
        <w:tc>
          <w:tcPr>
            <w:tcW w:type="dxa" w:w="2880"/>
          </w:tcPr>
          <w:p>
            <w:r>
              <w:t>CONTRACT, ID_DOCUMENT, CERTIFICATE, PERFORMANCE_NOTE, OTHER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PermissionResource</w:t>
            </w:r>
          </w:p>
        </w:tc>
        <w:tc>
          <w:tcPr>
            <w:tcW w:type="dxa" w:w="2880"/>
          </w:tcPr>
          <w:p>
            <w:r>
              <w:t>PRODUCTS, ORDERS, INVENTORY, CUSTOMERS, MARKETING, CMS, SETTINGS, HR_DASHBOARD, HR_EMPLOYEES, HR_ATTENDANCE, HR_LEAVE, HR_SHIFTS, HR_RECRUITMENT, HR_PAYROLL, HR_PERFORMANCE</w:t>
            </w:r>
          </w:p>
        </w:tc>
        <w:tc>
          <w:tcPr>
            <w:tcW w:type="dxa" w:w="2880"/>
          </w:tcPr>
          <w:p>
            <w:r>
              <w:t xml:space="preserve">One per admin nav area — mirrors </w:t>
            </w:r>
            <w:r>
              <w:rPr>
                <w:rFonts w:ascii="Consolas" w:hAnsi="Consolas"/>
                <w:sz w:val="20"/>
              </w:rPr>
              <w:t>admin-shell.tsx</w:t>
            </w:r>
            <w:r>
              <w:t xml:space="preserve"> exactly</w:t>
            </w:r>
          </w:p>
        </w:tc>
      </w:tr>
      <w:tr>
        <w:tc>
          <w:tcPr>
            <w:tcW w:type="dxa" w:w="2880"/>
          </w:tcPr>
          <w:p>
            <w:r>
              <w:t>AttendanceSource</w:t>
            </w:r>
          </w:p>
        </w:tc>
        <w:tc>
          <w:tcPr>
            <w:tcW w:type="dxa" w:w="2880"/>
          </w:tcPr>
          <w:p>
            <w:r>
              <w:t>WEB</w:t>
            </w:r>
          </w:p>
        </w:tc>
        <w:tc>
          <w:tcPr>
            <w:tcW w:type="dxa" w:w="2880"/>
          </w:tcPr>
          <w:p>
            <w:r>
              <w:t>Only value — no biometric/device integration</w:t>
            </w:r>
          </w:p>
        </w:tc>
      </w:tr>
      <w:tr>
        <w:tc>
          <w:tcPr>
            <w:tcW w:type="dxa" w:w="2880"/>
          </w:tcPr>
          <w:p>
            <w:r>
              <w:t>LeaveType</w:t>
            </w:r>
          </w:p>
        </w:tc>
        <w:tc>
          <w:tcPr>
            <w:tcW w:type="dxa" w:w="2880"/>
          </w:tcPr>
          <w:p>
            <w:r>
              <w:t>ANNUAL, SICK, MATERNITY, PATERNITY, UNPAID, OTHER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LeaveRequestStatus</w:t>
            </w:r>
          </w:p>
        </w:tc>
        <w:tc>
          <w:tcPr>
            <w:tcW w:type="dxa" w:w="2880"/>
          </w:tcPr>
          <w:p>
            <w:r>
              <w:t>PENDING, APPROVED, REJECTED, CANCELLED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ShiftStatus</w:t>
            </w:r>
          </w:p>
        </w:tc>
        <w:tc>
          <w:tcPr>
            <w:tcW w:type="dxa" w:w="2880"/>
          </w:tcPr>
          <w:p>
            <w:r>
              <w:t>SCHEDULED, CANCELLED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ShiftSwapStatus</w:t>
            </w:r>
          </w:p>
        </w:tc>
        <w:tc>
          <w:tcPr>
            <w:tcW w:type="dxa" w:w="2880"/>
          </w:tcPr>
          <w:p>
            <w:r>
              <w:t>PENDING, APPROVED, REJECTED, CANCELLED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GoalStatus</w:t>
            </w:r>
          </w:p>
        </w:tc>
        <w:tc>
          <w:tcPr>
            <w:tcW w:type="dxa" w:w="2880"/>
          </w:tcPr>
          <w:p>
            <w:r>
              <w:t>NOT_STARTED, IN_PROGRESS, COMPLETED, MISSED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ReviewStatus</w:t>
            </w:r>
          </w:p>
        </w:tc>
        <w:tc>
          <w:tcPr>
            <w:tcW w:type="dxa" w:w="2880"/>
          </w:tcPr>
          <w:p>
            <w:r>
              <w:t>DRAFT, SUBMITTED, ACKNOWLEDGED</w:t>
            </w:r>
          </w:p>
        </w:tc>
        <w:tc>
          <w:tcPr>
            <w:tcW w:type="dxa" w:w="2880"/>
          </w:tcPr>
          <w:p>
            <w:r>
              <w:t>SUBMITTED locks content until the employee acknowledges</w:t>
            </w:r>
          </w:p>
        </w:tc>
      </w:tr>
      <w:tr>
        <w:tc>
          <w:tcPr>
            <w:tcW w:type="dxa" w:w="2880"/>
          </w:tcPr>
          <w:p>
            <w:r>
              <w:t>JobPostingStatus</w:t>
            </w:r>
          </w:p>
        </w:tc>
        <w:tc>
          <w:tcPr>
            <w:tcW w:type="dxa" w:w="2880"/>
          </w:tcPr>
          <w:p>
            <w:r>
              <w:t>DRAFT, OPEN, CLOSED, FILLED</w:t>
            </w:r>
          </w:p>
        </w:tc>
        <w:tc>
          <w:tcPr>
            <w:tcW w:type="dxa" w:w="2880"/>
          </w:tcPr>
          <w:p>
            <w:r>
              <w:t>Auto-transitions to FILLED on applicant conversion</w:t>
            </w:r>
          </w:p>
        </w:tc>
      </w:tr>
      <w:tr>
        <w:tc>
          <w:tcPr>
            <w:tcW w:type="dxa" w:w="2880"/>
          </w:tcPr>
          <w:p>
            <w:r>
              <w:t>ApplicantStage</w:t>
            </w:r>
          </w:p>
        </w:tc>
        <w:tc>
          <w:tcPr>
            <w:tcW w:type="dxa" w:w="2880"/>
          </w:tcPr>
          <w:p>
            <w:r>
              <w:t>APPLIED, SCREENING, INTERVIEW, OFFER, HIRED, REJECTED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PayrollPeriodStatus</w:t>
            </w:r>
          </w:p>
        </w:tc>
        <w:tc>
          <w:tcPr>
            <w:tcW w:type="dxa" w:w="2880"/>
          </w:tcPr>
          <w:p>
            <w:r>
              <w:t>DRAFT, COMPUTED, FINALIZED</w:t>
            </w:r>
          </w:p>
        </w:tc>
        <w:tc>
          <w:tcPr>
            <w:tcW w:type="dxa" w:w="2880"/>
          </w:tcPr>
          <w:p>
            <w:r>
              <w:t>FINALIZED locks the period; advance-ledger balances commit here</w:t>
            </w:r>
          </w:p>
        </w:tc>
      </w:tr>
      <w:tr>
        <w:tc>
          <w:tcPr>
            <w:tcW w:type="dxa" w:w="2880"/>
          </w:tcPr>
          <w:p>
            <w:r>
              <w:t>PayrollPeriodType</w:t>
            </w:r>
          </w:p>
        </w:tc>
        <w:tc>
          <w:tcPr>
            <w:tcW w:type="dxa" w:w="2880"/>
          </w:tcPr>
          <w:p>
            <w:r>
              <w:t>REGULAR, THIRTEENTH_MONTH</w:t>
            </w:r>
          </w:p>
        </w:tc>
        <w:tc>
          <w:tcPr>
            <w:tcW w:type="dxa" w:w="2880"/>
          </w:tcPr>
          <w:p>
            <w:r>
              <w:t>Separate proration rule, excludes allowances/overtime/bonus/advance recovery</w:t>
            </w:r>
          </w:p>
        </w:tc>
      </w:tr>
      <w:tr>
        <w:tc>
          <w:tcPr>
            <w:tcW w:type="dxa" w:w="2880"/>
          </w:tcPr>
          <w:p>
            <w:r>
              <w:t>AllowanceType</w:t>
            </w:r>
          </w:p>
        </w:tc>
        <w:tc>
          <w:tcPr>
            <w:tcW w:type="dxa" w:w="2880"/>
          </w:tcPr>
          <w:p>
            <w:r>
              <w:t>HOUSING, TRANSPORT, LUNCH, MEDICAL, HARDSHIP, OTHER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SalaryAdvanceStatus</w:t>
            </w:r>
          </w:p>
        </w:tc>
        <w:tc>
          <w:tcPr>
            <w:tcW w:type="dxa" w:w="2880"/>
          </w:tcPr>
          <w:p>
            <w:r>
              <w:t>ACTIVE, PAID_OFF, CANCELLED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PayrollAdjustmentType</w:t>
            </w:r>
          </w:p>
        </w:tc>
        <w:tc>
          <w:tcPr>
            <w:tcW w:type="dxa" w:w="2880"/>
          </w:tcPr>
          <w:p>
            <w:r>
              <w:t>BONUS, PENALTY, OVERTIME, OTHER_EARNING, OTHER_DEDUCTION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ActivityActorType</w:t>
            </w:r>
          </w:p>
        </w:tc>
        <w:tc>
          <w:tcPr>
            <w:tcW w:type="dxa" w:w="2880"/>
          </w:tcPr>
          <w:p>
            <w:r>
              <w:t>CUSTOMER, STAFF, SYSTEM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AccountType</w:t>
            </w:r>
          </w:p>
        </w:tc>
        <w:tc>
          <w:tcPr>
            <w:tcW w:type="dxa" w:w="2880"/>
          </w:tcPr>
          <w:p>
            <w:r>
              <w:t>ASSET, LIABILITY, EQUITY, REVENUE, EXPENSE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CashFlowCategory</w:t>
            </w:r>
          </w:p>
        </w:tc>
        <w:tc>
          <w:tcPr>
            <w:tcW w:type="dxa" w:w="2880"/>
          </w:tcPr>
          <w:p>
            <w:r>
              <w:t>OPERATING, INVESTING, FINANCING</w:t>
            </w:r>
          </w:p>
        </w:tc>
        <w:tc>
          <w:tcPr>
            <w:tcW w:type="dxa" w:w="2880"/>
          </w:tcPr>
          <w:p>
            <w:r>
              <w:t>Drives the indirect-method cash flow statement</w:t>
            </w:r>
          </w:p>
        </w:tc>
      </w:tr>
      <w:tr>
        <w:tc>
          <w:tcPr>
            <w:tcW w:type="dxa" w:w="2880"/>
          </w:tcPr>
          <w:p>
            <w:r>
              <w:t>FiscalPeriodStatus</w:t>
            </w:r>
          </w:p>
        </w:tc>
        <w:tc>
          <w:tcPr>
            <w:tcW w:type="dxa" w:w="2880"/>
          </w:tcPr>
          <w:p>
            <w:r>
              <w:t>OPEN, CLOSED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JournalEntryStatus</w:t>
            </w:r>
          </w:p>
        </w:tc>
        <w:tc>
          <w:tcPr>
            <w:tcW w:type="dxa" w:w="2880"/>
          </w:tcPr>
          <w:p>
            <w:r>
              <w:t>DRAFT, POSTED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VendorStatus</w:t>
            </w:r>
          </w:p>
        </w:tc>
        <w:tc>
          <w:tcPr>
            <w:tcW w:type="dxa" w:w="2880"/>
          </w:tcPr>
          <w:p>
            <w:r>
              <w:t>ACTIVE, SUSPENDED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VendorPayoutStatus</w:t>
            </w:r>
          </w:p>
        </w:tc>
        <w:tc>
          <w:tcPr>
            <w:tcW w:type="dxa" w:w="2880"/>
          </w:tcPr>
          <w:p>
            <w:r>
              <w:t>PENDING, PAID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PaymentProvider</w:t>
            </w:r>
          </w:p>
        </w:tc>
        <w:tc>
          <w:tcPr>
            <w:tcW w:type="dxa" w:w="2880"/>
          </w:tcPr>
          <w:p>
            <w:r>
              <w:t>FLUTTERWAVE</w:t>
            </w:r>
          </w:p>
        </w:tc>
        <w:tc>
          <w:tcPr>
            <w:tcW w:type="dxa" w:w="2880"/>
          </w:tcPr>
          <w:p>
            <w:r>
              <w:t>Only integrated gateway</w:t>
            </w:r>
          </w:p>
        </w:tc>
      </w:tr>
      <w:tr>
        <w:tc>
          <w:tcPr>
            <w:tcW w:type="dxa" w:w="2880"/>
          </w:tcPr>
          <w:p>
            <w:r>
              <w:t>PaymentTransactionStatus</w:t>
            </w:r>
          </w:p>
        </w:tc>
        <w:tc>
          <w:tcPr>
            <w:tcW w:type="dxa" w:w="2880"/>
          </w:tcPr>
          <w:p>
            <w:r>
              <w:t>PENDING, SUCCESSFUL, FAILED, REFUNDED, CHARGEBACK</w:t>
            </w:r>
          </w:p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/03-database-design.docx" TargetMode="External"/><Relationship Id="rId10" Type="http://schemas.openxmlformats.org/officeDocument/2006/relationships/hyperlink" Target="./22-entity-relationship-diagram.docx" TargetMode="External"/><Relationship Id="rId11" Type="http://schemas.openxmlformats.org/officeDocument/2006/relationships/hyperlink" Target="./21-data-flow-diagram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23. Data Dictionary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