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p>
      <w:pPr>
        <w:pStyle w:val="Heading1"/>
      </w:pPr>
      <w:r>
        <w:t>100.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Scope note — the Customer Storefront's language offering (Updates 29–31) is now the administrator's exact 9-language set, grouped Uganda — Official/Global, Uganda — Official/Africa, Uganda — Bantu, Africa, Europe, The Americas — not an open-ended aspirational list.</w:t>
      </w:r>
    </w:p>
    <w:p>
      <w:pPr>
        <w:pStyle w:val="Heading1"/>
      </w:pPr>
      <w:r>
        <w:t>101.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Scope note — this is an administrator-facing convenience on an already-delivered feature (admin-managed social channels, Update recorded earlier): the change is additive (one single-row table, four endpoints on the existing CMS controller, existing permissions) and does not alter the project's scope, phasing, cost basis or architecture position.</w:t>
      </w:r>
    </w:p>
    <w:p>
      <w:pPr>
        <w:pStyle w:val="Heading1"/>
      </w:pPr>
      <w:r>
        <w:t>102.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Scope note — an administrator-facing refinement of an already-delivered feature (admin-managed social channels): the CMS panel now enumerates every supported platform. Additive (one UNIQUE constraint with an in-migration de-dupe, two endpoints on the existing CMS controller, existing permissions); no change to project scope, phasing, cost basis or architecture position.</w:t>
      </w:r>
    </w:p>
    <w:p>
      <w:pPr>
        <w:pStyle w:val="Heading1"/>
      </w:pPr>
      <w:r>
        <w:t>103.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nest build, admin vite build and prisma migrate deploy all clean; openapi.json regenerated (367 paths, 467 operations).</w:t>
      </w:r>
    </w:p>
    <w:p>
      <w:pPr>
        <w:pStyle w:val="Heading2"/>
      </w:pPr>
      <w:r>
        <w:t>Impact on this document</w:t>
      </w:r>
    </w:p>
    <w:p>
      <w:pPr>
        <w:pStyle w:val="BodyText"/>
      </w:pPr>
      <w:r>
        <w:t>Scope note — an administrator-facing addition: the platform now issues and maintains a controlled staff identity credential for every active administration employee automatically. Additive (one table, one module, two HR permissions, one self-service screen); no change to project scope framing, phasing, cost basis or architecture position.</w:t>
      </w:r>
    </w:p>
    <w:p>
      <w:pPr>
        <w:pStyle w:val="Heading1"/>
      </w:pPr>
      <w:r>
        <w:t>104.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nest build, admin vite build and prisma migrate deploy all clean; openapi.json unchanged at 367 paths / 467 operations.</w:t>
      </w:r>
    </w:p>
    <w:p>
      <w:pPr>
        <w:pStyle w:val="Heading2"/>
      </w:pPr>
      <w:r>
        <w:t>Impact on this document</w:t>
      </w:r>
    </w:p>
    <w:p>
      <w:pPr>
        <w:pStyle w:val="BodyText"/>
      </w:pPr>
      <w:r>
        <w:t>Scope note — a refinement of the Update 90 identification-card feature: the card now has a front and a back part. Additive (two nullable columns, a derived back object); no change to project scope framing, phasing, cost basis or architecture position.</w:t>
      </w:r>
    </w:p>
    <w:p>
      <w:pPr>
        <w:pStyle w:val="Heading1"/>
      </w:pPr>
      <w:r>
        <w:t>105.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nest build, admin vite build and prisma migrate deploy all clean.</w:t>
      </w:r>
    </w:p>
    <w:p>
      <w:pPr>
        <w:pStyle w:val="Heading2"/>
      </w:pPr>
      <w:r>
        <w:t>Impact on this document</w:t>
      </w:r>
    </w:p>
    <w:p>
      <w:pPr>
        <w:pStyle w:val="BodyText"/>
      </w:pPr>
      <w:r>
        <w:t>Scope note — a small refinement of the Update 90-91 identification-card feature: the blood group section is removed from the back and the two faces are the same size. Removal only (one dropped column); no change to project scope framing, phasing, cost basis or architecture position.</w:t>
      </w:r>
    </w:p>
    <w:p>
      <w:pPr>
        <w:pStyle w:val="Heading1"/>
      </w:pPr>
      <w:r>
        <w:t>106.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w:t>
      </w:r>
    </w:p>
    <w:p>
      <w:pPr>
        <w:pStyle w:val="BodyText"/>
      </w:pPr>
      <w:r>
        <w:t>The storefront's public site lists Morise Milling Ltd in the Companies directory (a SUBSIDIARY_META entry, a new subsidiary-milling.svg banner in the brand family mirrored into both apps, and a News item). Group figures become six subsidiaries and twenty-six sites / branches. Verified against the running system; admin and storefront builds are clean.</w:t>
      </w:r>
    </w:p>
    <w:p>
      <w:pPr>
        <w:pStyle w:val="Heading2"/>
      </w:pPr>
      <w:r>
        <w:t>Impact on this document</w:t>
      </w:r>
    </w:p>
    <w:p>
      <w:pPr>
        <w:pStyle w:val="BodyText"/>
      </w:pPr>
      <w:r>
        <w:t>Scope note — the group gains a sixth wholly-owned operating company, Morise Milling Ltd (grain milling): its organisation is seeded and live, and its ERP is a specification and a phased backlog (new doc 23). Additive (seed data + one spec doc + a storefront listing and brand banner); no change to project scope framing, phasing, cost basis or architecture position.</w:t>
      </w:r>
    </w:p>
    <w:p>
      <w:pPr>
        <w:pStyle w:val="Heading1"/>
      </w:pPr>
      <w:r>
        <w:t>107.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staff notification. A damaged / incomplete / not-received acknowledgement issues no stamp: it sets deliveries.exception_opened_at, logs the customer's report and raises a delivery.exception_opened audit entry and a staff notification.</w:t>
      </w:r>
    </w:p>
    <w:p>
      <w:pPr>
        <w:pStyle w:val="BodyText"/>
      </w:pPr>
      <w:r>
        <w:t>The e-Stamp is shown on the customer's delivery-tracking view, the invoice list and detail, the staff DeliveryService.get, and the downloaded invoice PDF — which now draws a navy / amber Morise seal (the Morise "M" mark, "MORISE e-STAMP", the stamp number and the confirmation wording) top-right. Storefront: a "Did everything arrive in good condition?" panel on the My Orders detail (confirm receipt / report a problem) and a "Morise e-Stamp" badge on the Invoices list. Seed adds one completed delivery for a Highland Traders order awaiting confirmation.</w:t>
      </w:r>
    </w:p>
    <w:p>
      <w:pPr>
        <w:pStyle w:val="BodyText"/>
      </w:pPr>
      <w:r>
        <w:t>Verified end to end against the running system (a "good" acknowledgement issued MOR-ESTAMP-2026-000001 on the invoice and rendered the seal on the PDF; the guards and the damaged path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Scope note — implements a previously-recorded requirement (Update 66): the order-to-cash / delivery flow gains a customer acknowledgement step and an automatic Morise e-Stamp on the invoice. Additive (one customer-portal endpoint, three nullable invoice columns + five nullable delivery columns, one migration); no new permission; no change to project scope framing, phasing, cost basis or architecture position.</w:t>
      </w:r>
    </w:p>
    <w:p>
      <w:pPr>
        <w:pStyle w:val="Heading1"/>
      </w:pPr>
      <w:r>
        <w:t>108.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on a good confirmation it shows the Morise e-Stamp number and a "Download stamped invoice" link, on a problem the exception notice. The My Orders list marks each order awaiting confirmation with a "Confirm receipt →"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nest build and storefront vite build clean; openapi.json regenerated (369 paths / 469 operations).</w:t>
      </w:r>
    </w:p>
    <w:p>
      <w:pPr>
        <w:pStyle w:val="Heading2"/>
      </w:pPr>
      <w:r>
        <w:t>Impact on this document</w:t>
      </w:r>
    </w:p>
    <w:p>
      <w:pPr>
        <w:pStyle w:val="BodyText"/>
      </w:pPr>
      <w:r>
        <w:t>Scope note — a usability follow-up to Update 94: the customer confirmation that triggers the Morise e-Stamp is now a first-class call to action (a Home prompt, an order-row link and a dedicated confirmation page). Additive (one read endpoint + two dashboard-summary fields); no schema or permission change; no change to project scope framing, phasing, cost basis or architecture position.</w:t>
      </w:r>
    </w:p>
    <w:p>
      <w:pPr>
        <w:pStyle w:val="Heading1"/>
      </w:pPr>
      <w:r>
        <w:t>109.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Audited as invoice.estamp.issued (good) or order.receipt.disputed (else) with a best-effort staff notification. awaiting-confirmation and the dashboard summary's deliveriesToConfirm now count delivered, unconfirmed orders.</w:t>
      </w:r>
    </w:p>
    <w:p>
      <w:pPr>
        <w:pStyle w:val="BodyText"/>
      </w:pPr>
      <w:r>
        <w:t>Storefront: the My Orders detail panel, the /orders/:id/confirm page and the "Confirm receipt →" row link are all driven by the order's delivered status and no longer need a delivery record. Verified end to end against the running system; nest build, storefront vite build and prisma migrate deploy all clean; openapi.json unchanged at 369 paths / 469 operations.</w:t>
      </w:r>
    </w:p>
    <w:p>
      <w:pPr>
        <w:pStyle w:val="Heading2"/>
      </w:pPr>
      <w:r>
        <w:t>Impact on this document</w:t>
      </w:r>
    </w:p>
    <w:p>
      <w:pPr>
        <w:pStyle w:val="BodyText"/>
      </w:pPr>
      <w:r>
        <w:t>Scope note — refinement of Updates 94-95: the customer confirmation that generates the Morise e-Stamp is now tied to the order's delivered status set by admin staff, and works for any delivered order. Additive (four nullable Order columns, one migration); no new endpoint or permission; no change to project scope framing, phasing, cost basis or architecture position.</w:t>
      </w:r>
    </w:p>
    <w:p>
      <w:pPr>
        <w:pStyle w:val="Heading1"/>
      </w:pPr>
      <w:r>
        <w:t>110.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scheduledFor) and social_post_targets (one row per platform per post — caption override, status, external id + permalink, error, attempts). Three new governance-domain permissions: social.post.manage, social.post.publish and social.post.viewAll — the "can create drafts vs can publish" split.</w:t>
      </w:r>
    </w:p>
    <w:p>
      <w:pPr>
        <w:pStyle w:val="BodyText"/>
      </w:pPr>
      <w:r>
        <w:t>Endpoints: GET /social/platforms; POST /social/platforms/:platform/{connect,disconnect}; GET / POST /social/posts, GET / PATCH / DELETE /social/posts/:id (get returns a per-platform preview); POST /social/posts/:id/publish (the single button), POST /social/posts/:id/retry, POST /social/run-scheduled; GET /social/dashboard. Every mutation is audited.</w:t>
      </w:r>
    </w:p>
    <w:p>
      <w:pPr>
        <w:pStyle w:val="BodyText"/>
      </w:pPr>
      <w:r>
        <w:t>The publish itself is SIMULATED — no OAuth handshake, platform API call or job queue exists in this build (the same deferred external integration recorded for Kafka, object storage and email / SMS); the connection / post / target / partial-failure / retry / dashboard shape is real. Admin gains a Social Publishing screen under ADMIN / BACKEND (four tabs). Verified end to end against the running system; nest build, admin vite build and prisma migrate deploy all clean; openapi.json regenerated (378 paths / 481 operations).</w:t>
      </w:r>
    </w:p>
    <w:p>
      <w:pPr>
        <w:pStyle w:val="Heading2"/>
      </w:pPr>
      <w:r>
        <w:t>Impact on this document</w:t>
      </w:r>
    </w:p>
    <w:p>
      <w:pPr>
        <w:pStyle w:val="BodyText"/>
      </w:pPr>
      <w:r>
        <w:t>Scope note — a new core feature area (group social media publishing) and a new specification document (doc 24). Additive (one module, three tables, three governance permissions, one admin screen); the live platform integration is a documented deferral; no change to project scope framing, phasing, cost basis or architecture position.</w:t>
      </w:r>
    </w:p>
    <w:p>
      <w:pPr>
        <w:pStyle w:val="Heading1"/>
      </w:pPr>
      <w:r>
        <w:t>111.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w:t>
      </w:r>
    </w:p>
    <w:p>
      <w:pPr>
        <w:pStyle w:val="BodyText"/>
      </w:pPr>
      <w:r>
        <w:t>Product.branchId already existed on the schema (29 August 2026, storefront group catalogue), but only the seed could set it — a product registered through the Admin screen was always company-wide. CreateProductDto and UpdateProductDto both gain an optional branchId; ProductsService.assertReferencesBelongTo validates on create and update that both the category and the branch belong to the product's own companyId, and every product read now returns companyName and branchName.</w:t>
      </w:r>
    </w:p>
    <w:p>
      <w:pPr>
        <w:pStyle w:val="BodyText"/>
      </w:pPr>
      <w:r>
        <w:t>The Admin Products screen is rebuilt on top of this: a subsidiary filter above the list, Company / Branch / Category / Stock columns and a per-row Edit action added to the table, and the New Product form replaced with Company and Branch dropdowns (previously a bare company-UUID text field). A new Edit Product modal exposes the PATCH /products/:id endpoint (it has existed since Sprint 4 with no screen). Verified end to end: reseeded and confirmed all 24 Morise Milling Ltd rows in Postgres with correct branch attribution; nest build clean; openapi.json regenerated (378 paths / 481 operations / 188 schemas — unchanged, no new path). The group catalogue is now 58 products across 25 categories (53 storefront-priced, 5 internal-only), and all six operating subsidiaries sell at least one product or service.</w:t>
      </w:r>
    </w:p>
    <w:p>
      <w:pPr>
        <w:pStyle w:val="Heading2"/>
      </w:pPr>
      <w:r>
        <w:t>Impact on this document</w:t>
      </w:r>
    </w:p>
    <w:p>
      <w:pPr>
        <w:pStyle w:val="BodyText"/>
      </w:pPr>
      <w:r>
        <w:t>Scope note — Morise Milling Ltd moves from a specification-only subsidiary to a selling one, and product registration is generalised to be branch-aware everywhere, not just in seed data. Additive (one seed block, two DTO fields, one service method, one screen rebuild); no change to project scope framing, phasing, cost basis or architecture position.</w:t>
      </w:r>
    </w:p>
    <w:p>
      <w:pPr>
        <w:pStyle w:val="Heading1"/>
      </w:pPr>
      <w:r>
        <w:t>112.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The RC-MIS itself (fourteen modules)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corporate.js gains a SUBSIDIARY_META entry, a SUBSIDIARY_BANNER entry and a News item for it. A new brand/banners/subsidiary-research-consultancy.svg (indigo accent; bar-chart-and-magnifying-glass motif)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on the Admin app and the Customer Storefront. No new endpoint, migration or permission; openapi.json unchanged.</w:t>
      </w:r>
    </w:p>
    <w:p>
      <w:pPr>
        <w:pStyle w:val="Heading2"/>
      </w:pPr>
      <w:r>
        <w:t>Impact on this document</w:t>
      </w:r>
    </w:p>
    <w:p>
      <w:pPr>
        <w:pStyle w:val="BodyText"/>
      </w:pPr>
      <w:r>
        <w:t>Scope note — the group's seventh subsidiary and first in the research/consultancy sector, added the same low-footprint way as every prior spec-stage subsidiary (organisation seeded, feature system documented as a specification). Additive only; no change to project scope framing, phasing, cost basis or architecture position.</w:t>
      </w:r>
    </w:p>
    <w:p>
      <w:pPr>
        <w:pStyle w:val="Heading1"/>
      </w:pPr>
      <w:r>
        <w:t>113.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Field Data Collection, Data Management &amp; Analysis, Monitoring &amp; Evaluation Services, Technical &amp; Policy Consultancy, and Training &amp; Capacity Building. Every line is productType 'service', priced in UGX per the standard unit a client's statement of work would quote against, and every line carries a unitPrice, so the whole catalogue is storefront-visible (unlike Morise Milling Ltd's internal raw-material items).</w:t>
      </w:r>
    </w:p>
    <w:p>
      <w:pPr>
        <w:pStyle w:val="BodyText"/>
      </w:pPr>
      <w:r>
        <w:t>Each service is attributed to the office best placed to deliver it: study design, analysis, policy advisory and the day-rate line sit at the Kampala Head Office; fieldwork-heavy lines are spread across the Gulu, Mbale, Mbarara and Karamoja field offices. No schema, code or permission change — seed.ts only, reusing the existing ensureService()/ensureCategory() helpers exactly as every prior services catalogue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Scope note — the group's seventh subsidiary moves from a specification-only presence to a selling one, the same way Milling and Collateral Management did before it. Additive only (one seed block reusing existing helpers); no change to project scope framing, phasing, cost basis or architecture position.</w:t>
      </w:r>
    </w:p>
    <w:p>
      <w:pPr>
        <w:pStyle w:val="Heading1"/>
      </w:pPr>
      <w:r>
        <w:t>114.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schemas exactly as it does outside Docker. The runtime stage copies over only the compiled dist/, the already-generated Prisma Client, and production node_modules, then runs node dist/main.js. Both stages install openssl and ca-certificates explicitly — Prisma's own documented fix for a libssl-detection warning on the bare -slim image. Using the same glibc-based Debian image for both stages avoids the well-known "Query Engine could not be found" failure that mixing an Alpine build with a glibc runtime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no code change and no CORS configuration are needed either way.</w:t>
      </w:r>
    </w:p>
    <w:p>
      <w:pPr>
        <w:pStyle w:val="BodyText"/>
      </w:pPr>
      <w:r>
        <w:t>docker-compose.yml gains backend, frontend and storefront services: backend waits on a new Postgres healthcheck before starting and gets its DATABASE_URL/PORT overridden to the in-network Postgres host; frontend and storefront are exposed on the same host ports their Vite dev servers already used (5173 / 5174). Migrations and seeding are still run from the host, unchanged from before the backend itself was containerized.</w:t>
      </w:r>
    </w:p>
    <w:p>
      <w:pPr>
        <w:pStyle w:val="BodyText"/>
      </w:pPr>
      <w:r>
        <w:t>Verified end to end: all three images build clean; docker compose up -d --build brings up all five containers healthy; existing seeded data survived a Postgres container recreate (lives in the mbms_pg_data named volume); a staff login and a storefront page load both succeeded through the nginx-to-backend proxy with zero console errors. No schema, endpoint or permission change; openapi.json unchanged.</w:t>
      </w:r>
    </w:p>
    <w:p>
      <w:pPr>
        <w:pStyle w:val="Heading2"/>
      </w:pPr>
      <w:r>
        <w:t>Impact on this document</w:t>
      </w:r>
    </w:p>
    <w:p>
      <w:pPr>
        <w:pStyle w:val="BodyText"/>
      </w:pPr>
      <w:r>
        <w:t>Scope note — a deployment-mechanics change (containerizing three already-working services), not a new feature. Additive only; no change to project scope framing, phasing, cost basis or architecture position.</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Scope note — the Customer Storefront's 9 official languages (Update 102) now reach 100% key parity with English (528/528 keys) — every word changes with the chosen language except proper nouns.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