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Feasibility — no scheduler was needed: the mirror runs lazily at the top of the two notification read endpoints the bell already calls, is best-effort and throttled to one reconcile per user every two minutes, and reuses the existing AlertsService collector. One nullable column and an index.</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Feasibility — the fix is a two-property CSS change on the dropdown panel plus an ordered-keyword loop in the router; no data or API change.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Feasibility — one new single-row table and four endpoints on an existing controller under existing permissions; no scheduler, no new dependency, and the per-channel table is untouched.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Feasibility — a UNIQUE constraint on `social_links.platform` (with an in-migration de-dupe) plus two endpoints on an existing controller; no new permission, dependency or infrastructure.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Feasibility - no feasibility impact: the card model reuses the existing Employee record, the audit service and the permission / scoping machinery; the photo is a text reference (the object-storage gap already recorded) and the QR block is a deterministic placeholder pending a real encoder.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Feasibility - no feasibility impact: the back is rendered from data already held (Employee national id / emergency contact, Company address) plus two small optional card fields; the barcode is a deterministic placeholder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Feasibility - no feasibility impact: a dropped column and a fixed-size front-end layout.</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Feasibility - no feasibility impact: the subsidiary reuses the subsidiary-lifecycle capability and, when built, large parts of the existing platform (Suppliers, Inventory / Warehouse, Fleet, Delivery, Accounting, HR / Payroll); the genuinely new work (weighbridge, milling lines, QA/QC, packaging, IoT, traceability) is scoped in doc 23 Section 9.</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Feasibility - no feasibility impact: built on the existing delivery module and invoice / PDF machinery; the seal is drawn with the same vector 'M' the apps already use.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Feasibility - no feasibility impact: one derived read over the existing deliveries table and three front-end surfaces for an already-built action.</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Feasibility - no feasibility impact: the confirmation moves from the delivery record to the order, which every sale already has; a delivery record is now optional.</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Feasibility - the composer, fan-out engine, partial-failure handling, retry and dashboard are feasible and built; the genuinely hard / costly parts (per-platform OAuth apps, X's pay-per-use billing, Meta app review, LinkedIn's Marketing Developer Platform approval, server-side media processing, a job queue) are scoped in doc 24 as the next phase.</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Feasibility - no feasibility impact: this reuses the existing multi-tenant Product model and Admin CRUD screen. Branch tagging was already present on the schema (29 August); only its write path and the Admin UI caught up.</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Feasibility - no feasibility impact: the subsidiary's organisation is seeded the same way as every subsidiary before it, reusing the existing subsidiary-lifecycle capability. The RC-MIS system itself is a specification, not a feasibility commitment.</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Feasibility - no feasibility impact: reuses the existing Product/ProductCategory model and the ensureService() seed helper already exercised for four other subsidiaries' services catalogues.</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Feasibility - no feasibility impact: containerizing an already-working application is an operational change, not a new capability requiring new feasibility analysis.</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Feasibility — no feasibility impact: trimming an existing translated list to a named subset needs no new technical capability.</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Feasibility — no feasibility impact: backfilling translation keys that already had an established pattern needed no new technical capability.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