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Morise Holdings Limited</w:t>
      </w:r>
    </w:p>
    <w:p>
      <w:pPr>
        <w:pStyle w:val="BodyText"/>
        <w:bidi w:val="0"/>
        <w:spacing w:before="30" w:after="283"/>
        <w:ind w:hanging="0" w:left="0" w:right="0"/>
        <w:jc w:val="left"/>
        <w:rPr>
          <w:color w:val="444444"/>
          <w:sz w:val="24"/>
        </w:rPr>
      </w:pPr>
      <w:r>
        <w:rPr>
          <w:color w:val="444444"/>
          <w:sz w:val="24"/>
        </w:rPr>
        <w:t>Business Process Document</w:t>
      </w:r>
    </w:p>
    <w:p>
      <w:pPr>
        <w:pStyle w:val="BodyText"/>
        <w:bidi w:val="0"/>
        <w:spacing w:before="30" w:after="283"/>
        <w:ind w:hanging="0" w:left="0" w:right="0"/>
        <w:jc w:val="left"/>
        <w:rPr>
          <w:color w:val="444444"/>
          <w:sz w:val="24"/>
        </w:rPr>
      </w:pPr>
      <w:r>
        <w:rPr>
          <w:color w:val="444444"/>
          <w:sz w:val="24"/>
        </w:rPr>
        <w:t>Morise Holdings Limited Business Management System (MBMS)</w:t>
      </w:r>
    </w:p>
    <w:tbl>
      <w:tblPr>
        <w:tblW w:w="11339" w:type="dxa"/>
        <w:jc w:val="left"/>
        <w:tblInd w:w="28" w:type="dxa"/>
        <w:tblLayout w:type="fixed"/>
        <w:tblCellMar>
          <w:top w:w="28" w:type="dxa"/>
          <w:left w:w="28" w:type="dxa"/>
          <w:bottom w:w="28" w:type="dxa"/>
          <w:right w:w="28" w:type="dxa"/>
        </w:tblCellMar>
      </w:tblPr>
      <w:tblGrid>
        <w:gridCol w:w="2111"/>
        <w:gridCol w:w="9228"/>
      </w:tblGrid>
      <w:tr>
        <w:trPr/>
        <w:tc>
          <w:tcPr>
            <w:tcW w:w="2111" w:type="dxa"/>
            <w:tcBorders/>
            <w:vAlign w:val="center"/>
          </w:tcPr>
          <w:p>
            <w:pPr>
              <w:pStyle w:val="TableContents"/>
              <w:bidi w:val="0"/>
              <w:spacing w:before="0" w:after="283"/>
              <w:jc w:val="left"/>
              <w:rPr>
                <w:b/>
              </w:rPr>
            </w:pPr>
            <w:r>
              <w:rPr>
                <w:b/>
              </w:rPr>
              <w:t>Document Type:</w:t>
            </w:r>
          </w:p>
        </w:tc>
        <w:tc>
          <w:tcPr>
            <w:tcW w:w="9228" w:type="dxa"/>
            <w:tcBorders/>
            <w:vAlign w:val="center"/>
          </w:tcPr>
          <w:p>
            <w:pPr>
              <w:pStyle w:val="TableContents"/>
              <w:bidi w:val="0"/>
              <w:spacing w:before="0" w:after="283"/>
              <w:jc w:val="left"/>
              <w:rPr/>
            </w:pPr>
            <w:r>
              <w:rPr/>
              <w:t>Business Process Document</w:t>
            </w:r>
          </w:p>
        </w:tc>
      </w:tr>
      <w:tr>
        <w:trPr/>
        <w:tc>
          <w:tcPr>
            <w:tcW w:w="2111" w:type="dxa"/>
            <w:tcBorders/>
            <w:vAlign w:val="center"/>
          </w:tcPr>
          <w:p>
            <w:pPr>
              <w:pStyle w:val="TableContents"/>
              <w:bidi w:val="0"/>
              <w:spacing w:before="0" w:after="283"/>
              <w:jc w:val="left"/>
              <w:rPr>
                <w:b/>
              </w:rPr>
            </w:pPr>
            <w:r>
              <w:rPr>
                <w:b/>
              </w:rPr>
              <w:t>Purpose:</w:t>
            </w:r>
          </w:p>
        </w:tc>
        <w:tc>
          <w:tcPr>
            <w:tcW w:w="9228" w:type="dxa"/>
            <w:tcBorders/>
            <w:vAlign w:val="center"/>
          </w:tcPr>
          <w:p>
            <w:pPr>
              <w:pStyle w:val="TableContents"/>
              <w:bidi w:val="0"/>
              <w:spacing w:before="0" w:after="283"/>
              <w:jc w:val="left"/>
              <w:rPr/>
            </w:pPr>
            <w:r>
              <w:rPr/>
              <w:t>Documents existing and proposed workflows</w:t>
            </w:r>
          </w:p>
        </w:tc>
      </w:tr>
      <w:tr>
        <w:trPr/>
        <w:tc>
          <w:tcPr>
            <w:tcW w:w="2111" w:type="dxa"/>
            <w:tcBorders/>
            <w:vAlign w:val="center"/>
          </w:tcPr>
          <w:p>
            <w:pPr>
              <w:pStyle w:val="TableContents"/>
              <w:bidi w:val="0"/>
              <w:spacing w:before="0" w:after="283"/>
              <w:jc w:val="left"/>
              <w:rPr>
                <w:b/>
              </w:rPr>
            </w:pPr>
            <w:r>
              <w:rPr>
                <w:b/>
              </w:rPr>
              <w:t>Version:</w:t>
            </w:r>
          </w:p>
        </w:tc>
        <w:tc>
          <w:tcPr>
            <w:tcW w:w="9228" w:type="dxa"/>
            <w:tcBorders/>
            <w:vAlign w:val="center"/>
          </w:tcPr>
          <w:p>
            <w:pPr>
              <w:pStyle w:val="TableContents"/>
              <w:bidi w:val="0"/>
              <w:spacing w:before="0" w:after="283"/>
              <w:jc w:val="left"/>
              <w:rPr/>
            </w:pPr>
            <w:r>
              <w:rPr/>
              <w:t>1.0 (Draft)</w:t>
            </w:r>
          </w:p>
        </w:tc>
      </w:tr>
      <w:tr>
        <w:trPr/>
        <w:tc>
          <w:tcPr>
            <w:tcW w:w="2111" w:type="dxa"/>
            <w:tcBorders/>
            <w:vAlign w:val="center"/>
          </w:tcPr>
          <w:p>
            <w:pPr>
              <w:pStyle w:val="TableContents"/>
              <w:bidi w:val="0"/>
              <w:spacing w:before="0" w:after="283"/>
              <w:jc w:val="left"/>
              <w:rPr>
                <w:b/>
              </w:rPr>
            </w:pPr>
            <w:r>
              <w:rPr>
                <w:b/>
              </w:rPr>
              <w:t>Date:</w:t>
            </w:r>
          </w:p>
        </w:tc>
        <w:tc>
          <w:tcPr>
            <w:tcW w:w="9228" w:type="dxa"/>
            <w:tcBorders/>
            <w:vAlign w:val="center"/>
          </w:tcPr>
          <w:p>
            <w:pPr>
              <w:pStyle w:val="TableContents"/>
              <w:bidi w:val="0"/>
              <w:spacing w:before="0" w:after="283"/>
              <w:jc w:val="left"/>
              <w:rPr/>
            </w:pPr>
            <w:r>
              <w:rPr/>
              <w:t>18 August 2026</w:t>
            </w:r>
          </w:p>
        </w:tc>
      </w:tr>
      <w:tr>
        <w:trPr/>
        <w:tc>
          <w:tcPr>
            <w:tcW w:w="2111" w:type="dxa"/>
            <w:tcBorders/>
            <w:vAlign w:val="center"/>
          </w:tcPr>
          <w:p>
            <w:pPr>
              <w:pStyle w:val="TableContents"/>
              <w:bidi w:val="0"/>
              <w:spacing w:before="0" w:after="283"/>
              <w:jc w:val="left"/>
              <w:rPr>
                <w:b/>
              </w:rPr>
            </w:pPr>
            <w:r>
              <w:rPr>
                <w:b/>
              </w:rPr>
              <w:t>Prepared by:</w:t>
            </w:r>
          </w:p>
        </w:tc>
        <w:tc>
          <w:tcPr>
            <w:tcW w:w="9228" w:type="dxa"/>
            <w:tcBorders/>
            <w:vAlign w:val="center"/>
          </w:tcPr>
          <w:p>
            <w:pPr>
              <w:pStyle w:val="TableContents"/>
              <w:bidi w:val="0"/>
              <w:spacing w:before="0" w:after="283"/>
              <w:jc w:val="left"/>
              <w:rPr/>
            </w:pPr>
            <w:r>
              <w:rPr/>
              <w:t>Obeke Godfrey, Director</w:t>
            </w:r>
          </w:p>
        </w:tc>
      </w:tr>
      <w:tr>
        <w:trPr/>
        <w:tc>
          <w:tcPr>
            <w:tcW w:w="2111" w:type="dxa"/>
            <w:tcBorders/>
            <w:vAlign w:val="center"/>
          </w:tcPr>
          <w:p>
            <w:pPr>
              <w:pStyle w:val="TableContents"/>
              <w:bidi w:val="0"/>
              <w:spacing w:before="0" w:after="283"/>
              <w:jc w:val="left"/>
              <w:rPr>
                <w:b/>
              </w:rPr>
            </w:pPr>
            <w:r>
              <w:rPr>
                <w:b/>
              </w:rPr>
              <w:t>Prepared for:</w:t>
            </w:r>
          </w:p>
        </w:tc>
        <w:tc>
          <w:tcPr>
            <w:tcW w:w="9228" w:type="dxa"/>
            <w:tcBorders/>
            <w:vAlign w:val="center"/>
          </w:tcPr>
          <w:p>
            <w:pPr>
              <w:pStyle w:val="TableContents"/>
              <w:bidi w:val="0"/>
              <w:spacing w:before="0" w:after="283"/>
              <w:jc w:val="left"/>
              <w:rPr/>
            </w:pPr>
            <w:r>
              <w:rPr/>
              <w:t>Board of Directors and Development Team, Morise Holdings Limited</w:t>
            </w:r>
          </w:p>
        </w:tc>
      </w:tr>
      <w:tr>
        <w:trPr/>
        <w:tc>
          <w:tcPr>
            <w:tcW w:w="2111" w:type="dxa"/>
            <w:tcBorders/>
            <w:vAlign w:val="center"/>
          </w:tcPr>
          <w:p>
            <w:pPr>
              <w:pStyle w:val="TableContents"/>
              <w:bidi w:val="0"/>
              <w:spacing w:before="0" w:after="283"/>
              <w:jc w:val="left"/>
              <w:rPr>
                <w:b/>
              </w:rPr>
            </w:pPr>
            <w:r>
              <w:rPr>
                <w:b/>
              </w:rPr>
              <w:t>Related documents:</w:t>
            </w:r>
          </w:p>
        </w:tc>
        <w:tc>
          <w:tcPr>
            <w:tcW w:w="9228" w:type="dxa"/>
            <w:tcBorders/>
            <w:vAlign w:val="center"/>
          </w:tcPr>
          <w:p>
            <w:pPr>
              <w:pStyle w:val="TableContents"/>
              <w:bidi w:val="0"/>
              <w:spacing w:before="0" w:after="283"/>
              <w:jc w:val="left"/>
              <w:rPr/>
            </w:pPr>
            <w:r>
              <w:rPr/>
              <w:t>01_Project Proposal; 02_Project Charter; 03_Feasibility Study; 04_Software Requirements Specification</w:t>
            </w:r>
          </w:p>
        </w:tc>
      </w:tr>
    </w:tbl>
    <w:p>
      <w:pPr>
        <w:pStyle w:val="Heading2"/>
        <w:bidi w:val="0"/>
        <w:jc w:val="left"/>
        <w:rPr/>
      </w:pPr>
      <w:r>
        <w:rPr/>
        <w:t>1. Purpose</w:t>
      </w:r>
    </w:p>
    <w:p>
      <w:pPr>
        <w:pStyle w:val="BodyText"/>
        <w:bidi w:val="0"/>
        <w:jc w:val="left"/>
        <w:rPr/>
      </w:pPr>
      <w:r>
        <w:rPr/>
        <w:t>The Group's software development procedures require that, before application screens are designed, the Group document how each major business process is currently performed (As-Is) and how it should work once MBMS is in place (To-Be). This document fulfils that requirement. It is organized by the same phased roadmap used throughout the project documentation set, so each process is clearly tagged with the phase in which it will actually be automated.</w:t>
      </w:r>
    </w:p>
    <w:p>
      <w:pPr>
        <w:pStyle w:val="Heading2"/>
        <w:bidi w:val="0"/>
        <w:jc w:val="left"/>
        <w:rPr/>
      </w:pPr>
      <w:r>
        <w:rPr/>
        <w:t>2. Methodology and Validation Status</w:t>
      </w:r>
    </w:p>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Important caveat:</w:t>
      </w:r>
      <w:r>
        <w:rPr>
          <w:sz w:val="21"/>
          <w:bdr w:val="single" w:sz="24" w:space="9" w:color="D98C00"/>
          <w:shd w:fill="FFF4E5" w:val="clear"/>
        </w:rPr>
        <w:t xml:space="preserve"> the Group's software development procedures call for these processes to be documented through interviews with management, finance, HR, procurement, operations, sales, warehouse and IT personnel. Those interviews have not yet taken place. The "Current State (As-Is)" descriptions below are therefore a </w:t>
      </w:r>
      <w:r>
        <w:rPr>
          <w:b/>
          <w:sz w:val="21"/>
          <w:bdr w:val="single" w:sz="24" w:space="9" w:color="D98C00"/>
          <w:shd w:fill="FFF4E5" w:val="clear"/>
        </w:rPr>
        <w:t>reasonable planning baseline</w:t>
      </w:r>
      <w:r>
        <w:rPr>
          <w:sz w:val="21"/>
          <w:bdr w:val="single" w:sz="24" w:space="9" w:color="D98C00"/>
          <w:shd w:fill="FFF4E5" w:val="clear"/>
        </w:rPr>
        <w:t>, inferred from the fact that the Group currently operates without any system (per the Feasibility Study's operational feasibility assessment) — not a confirmed record of exact current practice. Each process owner identified in Section 10 should review and correct their process's Current State description before it is relied on for system design. The "Proposed State (To-Be)" workflows, by contrast, are drawn directly from the MBMS system scope document and the Group's software development procedures, and are consistent with the functional requirements already approved in the SRS.</w:t>
      </w:r>
    </w:p>
    <w:p>
      <w:pPr>
        <w:pStyle w:val="Heading2"/>
        <w:bidi w:val="0"/>
        <w:ind w:hanging="0"/>
        <w:jc w:val="left"/>
        <w:rPr/>
      </w:pPr>
      <w:r>
        <w:rPr/>
        <w:t>3. Process Inventory</w:t>
      </w:r>
    </w:p>
    <w:tbl>
      <w:tblPr>
        <w:tblW w:w="11339" w:type="dxa"/>
        <w:jc w:val="left"/>
        <w:tblInd w:w="28" w:type="dxa"/>
        <w:tblLayout w:type="fixed"/>
        <w:tblCellMar>
          <w:top w:w="28" w:type="dxa"/>
          <w:left w:w="28" w:type="dxa"/>
          <w:bottom w:w="28" w:type="dxa"/>
          <w:right w:w="28" w:type="dxa"/>
        </w:tblCellMar>
      </w:tblPr>
      <w:tblGrid>
        <w:gridCol w:w="361"/>
        <w:gridCol w:w="4264"/>
        <w:gridCol w:w="3064"/>
        <w:gridCol w:w="3650"/>
      </w:tblGrid>
      <w:tr>
        <w:trPr/>
        <w:tc>
          <w:tcPr>
            <w:tcW w:w="361" w:type="dxa"/>
            <w:tcBorders/>
            <w:vAlign w:val="center"/>
          </w:tcPr>
          <w:p>
            <w:pPr>
              <w:pStyle w:val="TableHeading"/>
              <w:suppressLineNumbers/>
              <w:shd w:fill="1F3864" w:val="clear"/>
              <w:bidi w:val="0"/>
              <w:spacing w:before="0" w:after="283"/>
              <w:jc w:val="left"/>
              <w:rPr/>
            </w:pPr>
            <w:r>
              <w:rPr/>
              <w:t>#</w:t>
            </w:r>
          </w:p>
        </w:tc>
        <w:tc>
          <w:tcPr>
            <w:tcW w:w="4264" w:type="dxa"/>
            <w:tcBorders/>
            <w:vAlign w:val="center"/>
          </w:tcPr>
          <w:p>
            <w:pPr>
              <w:pStyle w:val="TableHeading"/>
              <w:suppressLineNumbers/>
              <w:shd w:fill="1F3864" w:val="clear"/>
              <w:bidi w:val="0"/>
              <w:spacing w:before="0" w:after="283"/>
              <w:jc w:val="left"/>
              <w:rPr/>
            </w:pPr>
            <w:r>
              <w:rPr/>
              <w:t>Process</w:t>
            </w:r>
          </w:p>
        </w:tc>
        <w:tc>
          <w:tcPr>
            <w:tcW w:w="3064" w:type="dxa"/>
            <w:tcBorders/>
            <w:vAlign w:val="center"/>
          </w:tcPr>
          <w:p>
            <w:pPr>
              <w:pStyle w:val="TableHeading"/>
              <w:suppressLineNumbers/>
              <w:shd w:fill="1F3864" w:val="clear"/>
              <w:bidi w:val="0"/>
              <w:spacing w:before="0" w:after="283"/>
              <w:jc w:val="left"/>
              <w:rPr/>
            </w:pPr>
            <w:r>
              <w:rPr/>
              <w:t>Target Phase</w:t>
            </w:r>
          </w:p>
        </w:tc>
        <w:tc>
          <w:tcPr>
            <w:tcW w:w="3650" w:type="dxa"/>
            <w:tcBorders/>
            <w:vAlign w:val="center"/>
          </w:tcPr>
          <w:p>
            <w:pPr>
              <w:pStyle w:val="TableHeading"/>
              <w:suppressLineNumbers/>
              <w:shd w:fill="1F3864" w:val="clear"/>
              <w:bidi w:val="0"/>
              <w:spacing w:before="0" w:after="283"/>
              <w:jc w:val="left"/>
              <w:rPr/>
            </w:pPr>
            <w:r>
              <w:rPr/>
              <w:t>Primary Process Owner</w:t>
            </w:r>
          </w:p>
        </w:tc>
      </w:tr>
      <w:tr>
        <w:trPr/>
        <w:tc>
          <w:tcPr>
            <w:tcW w:w="361" w:type="dxa"/>
            <w:tcBorders/>
            <w:vAlign w:val="center"/>
          </w:tcPr>
          <w:p>
            <w:pPr>
              <w:pStyle w:val="TableContents"/>
              <w:bidi w:val="0"/>
              <w:spacing w:before="0" w:after="283"/>
              <w:jc w:val="left"/>
              <w:rPr/>
            </w:pPr>
            <w:r>
              <w:rPr/>
              <w:t>1</w:t>
            </w:r>
          </w:p>
        </w:tc>
        <w:tc>
          <w:tcPr>
            <w:tcW w:w="4264" w:type="dxa"/>
            <w:tcBorders/>
            <w:vAlign w:val="center"/>
          </w:tcPr>
          <w:p>
            <w:pPr>
              <w:pStyle w:val="TableContents"/>
              <w:bidi w:val="0"/>
              <w:spacing w:before="0" w:after="283"/>
              <w:jc w:val="left"/>
              <w:rPr/>
            </w:pPr>
            <w:r>
              <w:rPr/>
              <w:t>Company, Branch &amp; User Onboarding</w:t>
            </w:r>
          </w:p>
        </w:tc>
        <w:tc>
          <w:tcPr>
            <w:tcW w:w="3064" w:type="dxa"/>
            <w:tcBorders/>
            <w:vAlign w:val="center"/>
          </w:tcPr>
          <w:p>
            <w:pPr>
              <w:pStyle w:val="TableContents"/>
              <w:bidi w:val="0"/>
              <w:spacing w:before="0" w:after="283"/>
              <w:jc w:val="left"/>
              <w:rPr/>
            </w:pPr>
            <w:r>
              <w:rPr/>
              <w:t>Phase 1</w:t>
            </w:r>
          </w:p>
        </w:tc>
        <w:tc>
          <w:tcPr>
            <w:tcW w:w="3650" w:type="dxa"/>
            <w:tcBorders/>
            <w:vAlign w:val="center"/>
          </w:tcPr>
          <w:p>
            <w:pPr>
              <w:pStyle w:val="TableContents"/>
              <w:bidi w:val="0"/>
              <w:spacing w:before="0" w:after="283"/>
              <w:jc w:val="left"/>
              <w:rPr/>
            </w:pPr>
            <w:r>
              <w:rPr/>
              <w:t>IT Administrator / Group CEO</w:t>
            </w:r>
          </w:p>
        </w:tc>
      </w:tr>
      <w:tr>
        <w:trPr/>
        <w:tc>
          <w:tcPr>
            <w:tcW w:w="361" w:type="dxa"/>
            <w:tcBorders/>
            <w:vAlign w:val="center"/>
          </w:tcPr>
          <w:p>
            <w:pPr>
              <w:pStyle w:val="TableContents"/>
              <w:bidi w:val="0"/>
              <w:spacing w:before="0" w:after="283"/>
              <w:jc w:val="left"/>
              <w:rPr/>
            </w:pPr>
            <w:r>
              <w:rPr/>
              <w:t>2</w:t>
            </w:r>
          </w:p>
        </w:tc>
        <w:tc>
          <w:tcPr>
            <w:tcW w:w="4264" w:type="dxa"/>
            <w:tcBorders/>
            <w:vAlign w:val="center"/>
          </w:tcPr>
          <w:p>
            <w:pPr>
              <w:pStyle w:val="TableContents"/>
              <w:bidi w:val="0"/>
              <w:spacing w:before="0" w:after="283"/>
              <w:jc w:val="left"/>
              <w:rPr/>
            </w:pPr>
            <w:r>
              <w:rPr/>
              <w:t>Basic Accounting (Journal Entry, Trial Balance)</w:t>
            </w:r>
          </w:p>
        </w:tc>
        <w:tc>
          <w:tcPr>
            <w:tcW w:w="3064" w:type="dxa"/>
            <w:tcBorders/>
            <w:vAlign w:val="center"/>
          </w:tcPr>
          <w:p>
            <w:pPr>
              <w:pStyle w:val="TableContents"/>
              <w:bidi w:val="0"/>
              <w:spacing w:before="0" w:after="283"/>
              <w:jc w:val="left"/>
              <w:rPr/>
            </w:pPr>
            <w:r>
              <w:rPr/>
              <w:t>Phase 1</w:t>
            </w:r>
          </w:p>
        </w:tc>
        <w:tc>
          <w:tcPr>
            <w:tcW w:w="3650" w:type="dxa"/>
            <w:tcBorders/>
            <w:vAlign w:val="center"/>
          </w:tcPr>
          <w:p>
            <w:pPr>
              <w:pStyle w:val="TableContents"/>
              <w:bidi w:val="0"/>
              <w:spacing w:before="0" w:after="283"/>
              <w:jc w:val="left"/>
              <w:rPr/>
            </w:pPr>
            <w:r>
              <w:rPr/>
              <w:t>Finance Manager / Accountant</w:t>
            </w:r>
          </w:p>
        </w:tc>
      </w:tr>
      <w:tr>
        <w:trPr/>
        <w:tc>
          <w:tcPr>
            <w:tcW w:w="361" w:type="dxa"/>
            <w:tcBorders/>
            <w:vAlign w:val="center"/>
          </w:tcPr>
          <w:p>
            <w:pPr>
              <w:pStyle w:val="TableContents"/>
              <w:bidi w:val="0"/>
              <w:spacing w:before="0" w:after="283"/>
              <w:jc w:val="left"/>
              <w:rPr/>
            </w:pPr>
            <w:r>
              <w:rPr/>
              <w:t>3</w:t>
            </w:r>
          </w:p>
        </w:tc>
        <w:tc>
          <w:tcPr>
            <w:tcW w:w="4264" w:type="dxa"/>
            <w:tcBorders/>
            <w:vAlign w:val="center"/>
          </w:tcPr>
          <w:p>
            <w:pPr>
              <w:pStyle w:val="TableContents"/>
              <w:bidi w:val="0"/>
              <w:spacing w:before="0" w:after="283"/>
              <w:jc w:val="left"/>
              <w:rPr/>
            </w:pPr>
            <w:r>
              <w:rPr/>
              <w:t>Employee Records Registration</w:t>
            </w:r>
          </w:p>
        </w:tc>
        <w:tc>
          <w:tcPr>
            <w:tcW w:w="3064" w:type="dxa"/>
            <w:tcBorders/>
            <w:vAlign w:val="center"/>
          </w:tcPr>
          <w:p>
            <w:pPr>
              <w:pStyle w:val="TableContents"/>
              <w:bidi w:val="0"/>
              <w:spacing w:before="0" w:after="283"/>
              <w:jc w:val="left"/>
              <w:rPr/>
            </w:pPr>
            <w:r>
              <w:rPr/>
              <w:t>Phase 1</w:t>
            </w:r>
          </w:p>
        </w:tc>
        <w:tc>
          <w:tcPr>
            <w:tcW w:w="3650" w:type="dxa"/>
            <w:tcBorders/>
            <w:vAlign w:val="center"/>
          </w:tcPr>
          <w:p>
            <w:pPr>
              <w:pStyle w:val="TableContents"/>
              <w:bidi w:val="0"/>
              <w:spacing w:before="0" w:after="283"/>
              <w:jc w:val="left"/>
              <w:rPr/>
            </w:pPr>
            <w:r>
              <w:rPr/>
              <w:t>HR Manager</w:t>
            </w:r>
          </w:p>
        </w:tc>
      </w:tr>
      <w:tr>
        <w:trPr/>
        <w:tc>
          <w:tcPr>
            <w:tcW w:w="361" w:type="dxa"/>
            <w:tcBorders/>
            <w:vAlign w:val="center"/>
          </w:tcPr>
          <w:p>
            <w:pPr>
              <w:pStyle w:val="TableContents"/>
              <w:bidi w:val="0"/>
              <w:spacing w:before="0" w:after="283"/>
              <w:jc w:val="left"/>
              <w:rPr/>
            </w:pPr>
            <w:r>
              <w:rPr/>
              <w:t>4</w:t>
            </w:r>
          </w:p>
        </w:tc>
        <w:tc>
          <w:tcPr>
            <w:tcW w:w="4264" w:type="dxa"/>
            <w:tcBorders/>
            <w:vAlign w:val="center"/>
          </w:tcPr>
          <w:p>
            <w:pPr>
              <w:pStyle w:val="TableContents"/>
              <w:bidi w:val="0"/>
              <w:spacing w:before="0" w:after="283"/>
              <w:jc w:val="left"/>
              <w:rPr/>
            </w:pPr>
            <w:r>
              <w:rPr/>
              <w:t>Sales and Customer Payments</w:t>
            </w:r>
          </w:p>
        </w:tc>
        <w:tc>
          <w:tcPr>
            <w:tcW w:w="3064" w:type="dxa"/>
            <w:tcBorders/>
            <w:vAlign w:val="center"/>
          </w:tcPr>
          <w:p>
            <w:pPr>
              <w:pStyle w:val="TableContents"/>
              <w:bidi w:val="0"/>
              <w:spacing w:before="0" w:after="283"/>
              <w:jc w:val="left"/>
              <w:rPr/>
            </w:pPr>
            <w:r>
              <w:rPr/>
              <w:t>Phase 2</w:t>
            </w:r>
          </w:p>
        </w:tc>
        <w:tc>
          <w:tcPr>
            <w:tcW w:w="3650" w:type="dxa"/>
            <w:tcBorders/>
            <w:vAlign w:val="center"/>
          </w:tcPr>
          <w:p>
            <w:pPr>
              <w:pStyle w:val="TableContents"/>
              <w:bidi w:val="0"/>
              <w:spacing w:before="0" w:after="283"/>
              <w:jc w:val="left"/>
              <w:rPr/>
            </w:pPr>
            <w:r>
              <w:rPr/>
              <w:t>Sales Manager</w:t>
            </w:r>
          </w:p>
        </w:tc>
      </w:tr>
      <w:tr>
        <w:trPr/>
        <w:tc>
          <w:tcPr>
            <w:tcW w:w="361" w:type="dxa"/>
            <w:tcBorders/>
            <w:vAlign w:val="center"/>
          </w:tcPr>
          <w:p>
            <w:pPr>
              <w:pStyle w:val="TableContents"/>
              <w:bidi w:val="0"/>
              <w:spacing w:before="0" w:after="283"/>
              <w:jc w:val="left"/>
              <w:rPr/>
            </w:pPr>
            <w:r>
              <w:rPr/>
              <w:t>5</w:t>
            </w:r>
          </w:p>
        </w:tc>
        <w:tc>
          <w:tcPr>
            <w:tcW w:w="4264" w:type="dxa"/>
            <w:tcBorders/>
            <w:vAlign w:val="center"/>
          </w:tcPr>
          <w:p>
            <w:pPr>
              <w:pStyle w:val="TableContents"/>
              <w:bidi w:val="0"/>
              <w:spacing w:before="0" w:after="283"/>
              <w:jc w:val="left"/>
              <w:rPr/>
            </w:pPr>
            <w:r>
              <w:rPr/>
              <w:t>Procurement and Supplier Payments</w:t>
            </w:r>
          </w:p>
        </w:tc>
        <w:tc>
          <w:tcPr>
            <w:tcW w:w="3064" w:type="dxa"/>
            <w:tcBorders/>
            <w:vAlign w:val="center"/>
          </w:tcPr>
          <w:p>
            <w:pPr>
              <w:pStyle w:val="TableContents"/>
              <w:bidi w:val="0"/>
              <w:spacing w:before="0" w:after="283"/>
              <w:jc w:val="left"/>
              <w:rPr/>
            </w:pPr>
            <w:r>
              <w:rPr/>
              <w:t>Phase 2</w:t>
            </w:r>
          </w:p>
        </w:tc>
        <w:tc>
          <w:tcPr>
            <w:tcW w:w="3650" w:type="dxa"/>
            <w:tcBorders/>
            <w:vAlign w:val="center"/>
          </w:tcPr>
          <w:p>
            <w:pPr>
              <w:pStyle w:val="TableContents"/>
              <w:bidi w:val="0"/>
              <w:spacing w:before="0" w:after="283"/>
              <w:jc w:val="left"/>
              <w:rPr/>
            </w:pPr>
            <w:r>
              <w:rPr/>
              <w:t>Procurement Officer</w:t>
            </w:r>
          </w:p>
        </w:tc>
      </w:tr>
      <w:tr>
        <w:trPr/>
        <w:tc>
          <w:tcPr>
            <w:tcW w:w="361" w:type="dxa"/>
            <w:tcBorders/>
            <w:vAlign w:val="center"/>
          </w:tcPr>
          <w:p>
            <w:pPr>
              <w:pStyle w:val="TableContents"/>
              <w:bidi w:val="0"/>
              <w:spacing w:before="0" w:after="283"/>
              <w:jc w:val="left"/>
              <w:rPr/>
            </w:pPr>
            <w:r>
              <w:rPr/>
              <w:t>6</w:t>
            </w:r>
          </w:p>
        </w:tc>
        <w:tc>
          <w:tcPr>
            <w:tcW w:w="4264" w:type="dxa"/>
            <w:tcBorders/>
            <w:vAlign w:val="center"/>
          </w:tcPr>
          <w:p>
            <w:pPr>
              <w:pStyle w:val="TableContents"/>
              <w:bidi w:val="0"/>
              <w:spacing w:before="0" w:after="283"/>
              <w:jc w:val="left"/>
              <w:rPr/>
            </w:pPr>
            <w:r>
              <w:rPr/>
              <w:t>Inventory and Warehouse Operations</w:t>
            </w:r>
          </w:p>
        </w:tc>
        <w:tc>
          <w:tcPr>
            <w:tcW w:w="3064" w:type="dxa"/>
            <w:tcBorders/>
            <w:vAlign w:val="center"/>
          </w:tcPr>
          <w:p>
            <w:pPr>
              <w:pStyle w:val="TableContents"/>
              <w:bidi w:val="0"/>
              <w:spacing w:before="0" w:after="283"/>
              <w:jc w:val="left"/>
              <w:rPr/>
            </w:pPr>
            <w:r>
              <w:rPr/>
              <w:t>Phase 2</w:t>
            </w:r>
          </w:p>
        </w:tc>
        <w:tc>
          <w:tcPr>
            <w:tcW w:w="3650" w:type="dxa"/>
            <w:tcBorders/>
            <w:vAlign w:val="center"/>
          </w:tcPr>
          <w:p>
            <w:pPr>
              <w:pStyle w:val="TableContents"/>
              <w:bidi w:val="0"/>
              <w:spacing w:before="0" w:after="283"/>
              <w:jc w:val="left"/>
              <w:rPr/>
            </w:pPr>
            <w:r>
              <w:rPr/>
              <w:t>Warehouse Manager</w:t>
            </w:r>
          </w:p>
        </w:tc>
      </w:tr>
      <w:tr>
        <w:trPr/>
        <w:tc>
          <w:tcPr>
            <w:tcW w:w="361" w:type="dxa"/>
            <w:tcBorders/>
            <w:vAlign w:val="center"/>
          </w:tcPr>
          <w:p>
            <w:pPr>
              <w:pStyle w:val="TableContents"/>
              <w:bidi w:val="0"/>
              <w:spacing w:before="0" w:after="283"/>
              <w:jc w:val="left"/>
              <w:rPr/>
            </w:pPr>
            <w:r>
              <w:rPr/>
              <w:t>7</w:t>
            </w:r>
          </w:p>
        </w:tc>
        <w:tc>
          <w:tcPr>
            <w:tcW w:w="4264" w:type="dxa"/>
            <w:tcBorders/>
            <w:vAlign w:val="center"/>
          </w:tcPr>
          <w:p>
            <w:pPr>
              <w:pStyle w:val="TableContents"/>
              <w:bidi w:val="0"/>
              <w:spacing w:before="0" w:after="283"/>
              <w:jc w:val="left"/>
              <w:rPr/>
            </w:pPr>
            <w:r>
              <w:rPr/>
              <w:t>Expense Claims</w:t>
            </w:r>
          </w:p>
        </w:tc>
        <w:tc>
          <w:tcPr>
            <w:tcW w:w="3064" w:type="dxa"/>
            <w:tcBorders/>
            <w:vAlign w:val="center"/>
          </w:tcPr>
          <w:p>
            <w:pPr>
              <w:pStyle w:val="TableContents"/>
              <w:bidi w:val="0"/>
              <w:spacing w:before="0" w:after="283"/>
              <w:jc w:val="left"/>
              <w:rPr/>
            </w:pPr>
            <w:r>
              <w:rPr/>
              <w:t>Phase 2</w:t>
            </w:r>
          </w:p>
        </w:tc>
        <w:tc>
          <w:tcPr>
            <w:tcW w:w="3650" w:type="dxa"/>
            <w:tcBorders/>
            <w:vAlign w:val="center"/>
          </w:tcPr>
          <w:p>
            <w:pPr>
              <w:pStyle w:val="TableContents"/>
              <w:bidi w:val="0"/>
              <w:spacing w:before="0" w:after="283"/>
              <w:jc w:val="left"/>
              <w:rPr/>
            </w:pPr>
            <w:r>
              <w:rPr/>
              <w:t>Finance Manager</w:t>
            </w:r>
          </w:p>
        </w:tc>
      </w:tr>
      <w:tr>
        <w:trPr/>
        <w:tc>
          <w:tcPr>
            <w:tcW w:w="361" w:type="dxa"/>
            <w:tcBorders/>
            <w:vAlign w:val="center"/>
          </w:tcPr>
          <w:p>
            <w:pPr>
              <w:pStyle w:val="TableContents"/>
              <w:bidi w:val="0"/>
              <w:spacing w:before="0" w:after="283"/>
              <w:jc w:val="left"/>
              <w:rPr/>
            </w:pPr>
            <w:r>
              <w:rPr/>
              <w:t>8</w:t>
            </w:r>
          </w:p>
        </w:tc>
        <w:tc>
          <w:tcPr>
            <w:tcW w:w="4264" w:type="dxa"/>
            <w:tcBorders/>
            <w:vAlign w:val="center"/>
          </w:tcPr>
          <w:p>
            <w:pPr>
              <w:pStyle w:val="TableContents"/>
              <w:bidi w:val="0"/>
              <w:spacing w:before="0" w:after="283"/>
              <w:jc w:val="left"/>
              <w:rPr/>
            </w:pPr>
            <w:r>
              <w:rPr/>
              <w:t>Asset Acquisition and Disposal</w:t>
            </w:r>
          </w:p>
        </w:tc>
        <w:tc>
          <w:tcPr>
            <w:tcW w:w="3064" w:type="dxa"/>
            <w:tcBorders/>
            <w:vAlign w:val="center"/>
          </w:tcPr>
          <w:p>
            <w:pPr>
              <w:pStyle w:val="TableContents"/>
              <w:bidi w:val="0"/>
              <w:spacing w:before="0" w:after="283"/>
              <w:jc w:val="left"/>
              <w:rPr/>
            </w:pPr>
            <w:r>
              <w:rPr/>
              <w:t>Phase 2</w:t>
            </w:r>
          </w:p>
        </w:tc>
        <w:tc>
          <w:tcPr>
            <w:tcW w:w="3650" w:type="dxa"/>
            <w:tcBorders/>
            <w:vAlign w:val="center"/>
          </w:tcPr>
          <w:p>
            <w:pPr>
              <w:pStyle w:val="TableContents"/>
              <w:bidi w:val="0"/>
              <w:spacing w:before="0" w:after="283"/>
              <w:jc w:val="left"/>
              <w:rPr/>
            </w:pPr>
            <w:r>
              <w:rPr/>
              <w:t>Operations Manager</w:t>
            </w:r>
          </w:p>
        </w:tc>
      </w:tr>
      <w:tr>
        <w:trPr/>
        <w:tc>
          <w:tcPr>
            <w:tcW w:w="361" w:type="dxa"/>
            <w:tcBorders/>
            <w:vAlign w:val="center"/>
          </w:tcPr>
          <w:p>
            <w:pPr>
              <w:pStyle w:val="TableContents"/>
              <w:bidi w:val="0"/>
              <w:spacing w:before="0" w:after="283"/>
              <w:jc w:val="left"/>
              <w:rPr/>
            </w:pPr>
            <w:r>
              <w:rPr/>
              <w:t>9</w:t>
            </w:r>
          </w:p>
        </w:tc>
        <w:tc>
          <w:tcPr>
            <w:tcW w:w="4264" w:type="dxa"/>
            <w:tcBorders/>
            <w:vAlign w:val="center"/>
          </w:tcPr>
          <w:p>
            <w:pPr>
              <w:pStyle w:val="TableContents"/>
              <w:bidi w:val="0"/>
              <w:spacing w:before="0" w:after="283"/>
              <w:jc w:val="left"/>
              <w:rPr/>
            </w:pPr>
            <w:r>
              <w:rPr/>
              <w:t>Project Management</w:t>
            </w:r>
          </w:p>
        </w:tc>
        <w:tc>
          <w:tcPr>
            <w:tcW w:w="3064" w:type="dxa"/>
            <w:tcBorders/>
            <w:vAlign w:val="center"/>
          </w:tcPr>
          <w:p>
            <w:pPr>
              <w:pStyle w:val="TableContents"/>
              <w:bidi w:val="0"/>
              <w:spacing w:before="0" w:after="283"/>
              <w:jc w:val="left"/>
              <w:rPr/>
            </w:pPr>
            <w:r>
              <w:rPr/>
              <w:t>Phase 2</w:t>
            </w:r>
          </w:p>
        </w:tc>
        <w:tc>
          <w:tcPr>
            <w:tcW w:w="3650" w:type="dxa"/>
            <w:tcBorders/>
            <w:vAlign w:val="center"/>
          </w:tcPr>
          <w:p>
            <w:pPr>
              <w:pStyle w:val="TableContents"/>
              <w:bidi w:val="0"/>
              <w:spacing w:before="0" w:after="283"/>
              <w:jc w:val="left"/>
              <w:rPr/>
            </w:pPr>
            <w:r>
              <w:rPr/>
              <w:t>Project Manager</w:t>
            </w:r>
          </w:p>
        </w:tc>
      </w:tr>
      <w:tr>
        <w:trPr/>
        <w:tc>
          <w:tcPr>
            <w:tcW w:w="361" w:type="dxa"/>
            <w:tcBorders/>
            <w:vAlign w:val="center"/>
          </w:tcPr>
          <w:p>
            <w:pPr>
              <w:pStyle w:val="TableContents"/>
              <w:bidi w:val="0"/>
              <w:spacing w:before="0" w:after="283"/>
              <w:jc w:val="left"/>
              <w:rPr/>
            </w:pPr>
            <w:r>
              <w:rPr/>
              <w:t>10</w:t>
            </w:r>
          </w:p>
        </w:tc>
        <w:tc>
          <w:tcPr>
            <w:tcW w:w="4264" w:type="dxa"/>
            <w:tcBorders/>
            <w:vAlign w:val="center"/>
          </w:tcPr>
          <w:p>
            <w:pPr>
              <w:pStyle w:val="TableContents"/>
              <w:bidi w:val="0"/>
              <w:spacing w:before="0" w:after="283"/>
              <w:jc w:val="left"/>
              <w:rPr/>
            </w:pPr>
            <w:r>
              <w:rPr/>
              <w:t>Payroll</w:t>
            </w:r>
          </w:p>
        </w:tc>
        <w:tc>
          <w:tcPr>
            <w:tcW w:w="3064" w:type="dxa"/>
            <w:tcBorders/>
            <w:vAlign w:val="center"/>
          </w:tcPr>
          <w:p>
            <w:pPr>
              <w:pStyle w:val="TableContents"/>
              <w:bidi w:val="0"/>
              <w:spacing w:before="0" w:after="283"/>
              <w:jc w:val="left"/>
              <w:rPr/>
            </w:pPr>
            <w:r>
              <w:rPr/>
              <w:t>Phase 3</w:t>
            </w:r>
          </w:p>
        </w:tc>
        <w:tc>
          <w:tcPr>
            <w:tcW w:w="3650" w:type="dxa"/>
            <w:tcBorders/>
            <w:vAlign w:val="center"/>
          </w:tcPr>
          <w:p>
            <w:pPr>
              <w:pStyle w:val="TableContents"/>
              <w:bidi w:val="0"/>
              <w:spacing w:before="0" w:after="283"/>
              <w:jc w:val="left"/>
              <w:rPr/>
            </w:pPr>
            <w:r>
              <w:rPr/>
              <w:t>HR Manager / Finance Manager</w:t>
            </w:r>
          </w:p>
        </w:tc>
      </w:tr>
      <w:tr>
        <w:trPr/>
        <w:tc>
          <w:tcPr>
            <w:tcW w:w="361" w:type="dxa"/>
            <w:tcBorders/>
            <w:vAlign w:val="center"/>
          </w:tcPr>
          <w:p>
            <w:pPr>
              <w:pStyle w:val="TableContents"/>
              <w:bidi w:val="0"/>
              <w:spacing w:before="0" w:after="283"/>
              <w:jc w:val="left"/>
              <w:rPr/>
            </w:pPr>
            <w:r>
              <w:rPr/>
              <w:t>11</w:t>
            </w:r>
          </w:p>
        </w:tc>
        <w:tc>
          <w:tcPr>
            <w:tcW w:w="4264" w:type="dxa"/>
            <w:tcBorders/>
            <w:vAlign w:val="center"/>
          </w:tcPr>
          <w:p>
            <w:pPr>
              <w:pStyle w:val="TableContents"/>
              <w:bidi w:val="0"/>
              <w:spacing w:before="0" w:after="283"/>
              <w:jc w:val="left"/>
              <w:rPr/>
            </w:pPr>
            <w:r>
              <w:rPr/>
              <w:t>Budgeting</w:t>
            </w:r>
          </w:p>
        </w:tc>
        <w:tc>
          <w:tcPr>
            <w:tcW w:w="3064" w:type="dxa"/>
            <w:tcBorders/>
            <w:vAlign w:val="center"/>
          </w:tcPr>
          <w:p>
            <w:pPr>
              <w:pStyle w:val="TableContents"/>
              <w:bidi w:val="0"/>
              <w:spacing w:before="0" w:after="283"/>
              <w:jc w:val="left"/>
              <w:rPr/>
            </w:pPr>
            <w:r>
              <w:rPr/>
              <w:t>Phase 3</w:t>
            </w:r>
          </w:p>
        </w:tc>
        <w:tc>
          <w:tcPr>
            <w:tcW w:w="3650" w:type="dxa"/>
            <w:tcBorders/>
            <w:vAlign w:val="center"/>
          </w:tcPr>
          <w:p>
            <w:pPr>
              <w:pStyle w:val="TableContents"/>
              <w:bidi w:val="0"/>
              <w:spacing w:before="0" w:after="283"/>
              <w:jc w:val="left"/>
              <w:rPr/>
            </w:pPr>
            <w:r>
              <w:rPr/>
              <w:t>Finance Manager / Department Heads</w:t>
            </w:r>
          </w:p>
        </w:tc>
      </w:tr>
      <w:tr>
        <w:trPr/>
        <w:tc>
          <w:tcPr>
            <w:tcW w:w="361" w:type="dxa"/>
            <w:tcBorders/>
            <w:vAlign w:val="center"/>
          </w:tcPr>
          <w:p>
            <w:pPr>
              <w:pStyle w:val="TableContents"/>
              <w:bidi w:val="0"/>
              <w:spacing w:before="0" w:after="283"/>
              <w:jc w:val="left"/>
              <w:rPr/>
            </w:pPr>
            <w:r>
              <w:rPr/>
              <w:t>12</w:t>
            </w:r>
          </w:p>
        </w:tc>
        <w:tc>
          <w:tcPr>
            <w:tcW w:w="4264" w:type="dxa"/>
            <w:tcBorders/>
            <w:vAlign w:val="center"/>
          </w:tcPr>
          <w:p>
            <w:pPr>
              <w:pStyle w:val="TableContents"/>
              <w:bidi w:val="0"/>
              <w:spacing w:before="0" w:after="283"/>
              <w:jc w:val="left"/>
              <w:rPr/>
            </w:pPr>
            <w:r>
              <w:rPr/>
              <w:t>Banking and Cash Management</w:t>
            </w:r>
          </w:p>
        </w:tc>
        <w:tc>
          <w:tcPr>
            <w:tcW w:w="3064" w:type="dxa"/>
            <w:tcBorders/>
            <w:vAlign w:val="center"/>
          </w:tcPr>
          <w:p>
            <w:pPr>
              <w:pStyle w:val="TableContents"/>
              <w:bidi w:val="0"/>
              <w:spacing w:before="0" w:after="283"/>
              <w:jc w:val="left"/>
              <w:rPr/>
            </w:pPr>
            <w:r>
              <w:rPr/>
              <w:t>Phase 3</w:t>
            </w:r>
          </w:p>
        </w:tc>
        <w:tc>
          <w:tcPr>
            <w:tcW w:w="3650" w:type="dxa"/>
            <w:tcBorders/>
            <w:vAlign w:val="center"/>
          </w:tcPr>
          <w:p>
            <w:pPr>
              <w:pStyle w:val="TableContents"/>
              <w:bidi w:val="0"/>
              <w:spacing w:before="0" w:after="283"/>
              <w:jc w:val="left"/>
              <w:rPr/>
            </w:pPr>
            <w:r>
              <w:rPr/>
              <w:t>Finance Manager</w:t>
            </w:r>
          </w:p>
        </w:tc>
      </w:tr>
      <w:tr>
        <w:trPr/>
        <w:tc>
          <w:tcPr>
            <w:tcW w:w="361" w:type="dxa"/>
            <w:tcBorders/>
            <w:vAlign w:val="center"/>
          </w:tcPr>
          <w:p>
            <w:pPr>
              <w:pStyle w:val="TableContents"/>
              <w:bidi w:val="0"/>
              <w:spacing w:before="0" w:after="283"/>
              <w:jc w:val="left"/>
              <w:rPr/>
            </w:pPr>
            <w:r>
              <w:rPr/>
              <w:t>13</w:t>
            </w:r>
          </w:p>
        </w:tc>
        <w:tc>
          <w:tcPr>
            <w:tcW w:w="4264" w:type="dxa"/>
            <w:tcBorders/>
            <w:vAlign w:val="center"/>
          </w:tcPr>
          <w:p>
            <w:pPr>
              <w:pStyle w:val="TableContents"/>
              <w:bidi w:val="0"/>
              <w:spacing w:before="0" w:after="283"/>
              <w:jc w:val="left"/>
              <w:rPr/>
            </w:pPr>
            <w:r>
              <w:rPr/>
              <w:t>Inter-Company Transactions</w:t>
            </w:r>
          </w:p>
        </w:tc>
        <w:tc>
          <w:tcPr>
            <w:tcW w:w="3064" w:type="dxa"/>
            <w:tcBorders/>
            <w:vAlign w:val="center"/>
          </w:tcPr>
          <w:p>
            <w:pPr>
              <w:pStyle w:val="TableContents"/>
              <w:bidi w:val="0"/>
              <w:spacing w:before="0" w:after="283"/>
              <w:jc w:val="left"/>
              <w:rPr/>
            </w:pPr>
            <w:r>
              <w:rPr/>
              <w:t>Phase 3</w:t>
            </w:r>
          </w:p>
        </w:tc>
        <w:tc>
          <w:tcPr>
            <w:tcW w:w="3650" w:type="dxa"/>
            <w:tcBorders/>
            <w:vAlign w:val="center"/>
          </w:tcPr>
          <w:p>
            <w:pPr>
              <w:pStyle w:val="TableContents"/>
              <w:bidi w:val="0"/>
              <w:spacing w:before="0" w:after="283"/>
              <w:jc w:val="left"/>
              <w:rPr/>
            </w:pPr>
            <w:r>
              <w:rPr/>
              <w:t>CFO / Group Finance</w:t>
            </w:r>
          </w:p>
        </w:tc>
      </w:tr>
      <w:tr>
        <w:trPr/>
        <w:tc>
          <w:tcPr>
            <w:tcW w:w="361" w:type="dxa"/>
            <w:tcBorders/>
            <w:vAlign w:val="center"/>
          </w:tcPr>
          <w:p>
            <w:pPr>
              <w:pStyle w:val="TableContents"/>
              <w:bidi w:val="0"/>
              <w:spacing w:before="0" w:after="283"/>
              <w:jc w:val="left"/>
              <w:rPr/>
            </w:pPr>
            <w:r>
              <w:rPr/>
              <w:t>14</w:t>
            </w:r>
          </w:p>
        </w:tc>
        <w:tc>
          <w:tcPr>
            <w:tcW w:w="4264" w:type="dxa"/>
            <w:tcBorders/>
            <w:vAlign w:val="center"/>
          </w:tcPr>
          <w:p>
            <w:pPr>
              <w:pStyle w:val="TableContents"/>
              <w:bidi w:val="0"/>
              <w:spacing w:before="0" w:after="283"/>
              <w:jc w:val="left"/>
              <w:rPr/>
            </w:pPr>
            <w:r>
              <w:rPr/>
              <w:t>Employee Recruitment and Onboarding (full)</w:t>
            </w:r>
          </w:p>
        </w:tc>
        <w:tc>
          <w:tcPr>
            <w:tcW w:w="3064" w:type="dxa"/>
            <w:tcBorders/>
            <w:vAlign w:val="center"/>
          </w:tcPr>
          <w:p>
            <w:pPr>
              <w:pStyle w:val="TableContents"/>
              <w:bidi w:val="0"/>
              <w:spacing w:before="0" w:after="283"/>
              <w:jc w:val="left"/>
              <w:rPr/>
            </w:pPr>
            <w:r>
              <w:rPr/>
              <w:t>Phase 4</w:t>
            </w:r>
          </w:p>
        </w:tc>
        <w:tc>
          <w:tcPr>
            <w:tcW w:w="3650" w:type="dxa"/>
            <w:tcBorders/>
            <w:vAlign w:val="center"/>
          </w:tcPr>
          <w:p>
            <w:pPr>
              <w:pStyle w:val="TableContents"/>
              <w:bidi w:val="0"/>
              <w:spacing w:before="0" w:after="283"/>
              <w:jc w:val="left"/>
              <w:rPr/>
            </w:pPr>
            <w:r>
              <w:rPr/>
              <w:t>HR Manager</w:t>
            </w:r>
          </w:p>
        </w:tc>
      </w:tr>
      <w:tr>
        <w:trPr/>
        <w:tc>
          <w:tcPr>
            <w:tcW w:w="361" w:type="dxa"/>
            <w:tcBorders/>
            <w:vAlign w:val="center"/>
          </w:tcPr>
          <w:p>
            <w:pPr>
              <w:pStyle w:val="TableContents"/>
              <w:bidi w:val="0"/>
              <w:spacing w:before="0" w:after="283"/>
              <w:jc w:val="left"/>
              <w:rPr/>
            </w:pPr>
            <w:r>
              <w:rPr/>
              <w:t>15</w:t>
            </w:r>
          </w:p>
        </w:tc>
        <w:tc>
          <w:tcPr>
            <w:tcW w:w="4264" w:type="dxa"/>
            <w:tcBorders/>
            <w:vAlign w:val="center"/>
          </w:tcPr>
          <w:p>
            <w:pPr>
              <w:pStyle w:val="TableContents"/>
              <w:bidi w:val="0"/>
              <w:spacing w:before="0" w:after="283"/>
              <w:jc w:val="left"/>
              <w:rPr/>
            </w:pPr>
            <w:r>
              <w:rPr/>
              <w:t>Leave and Attendance</w:t>
            </w:r>
          </w:p>
        </w:tc>
        <w:tc>
          <w:tcPr>
            <w:tcW w:w="3064" w:type="dxa"/>
            <w:tcBorders/>
            <w:vAlign w:val="center"/>
          </w:tcPr>
          <w:p>
            <w:pPr>
              <w:pStyle w:val="TableContents"/>
              <w:bidi w:val="0"/>
              <w:spacing w:before="0" w:after="283"/>
              <w:jc w:val="left"/>
              <w:rPr/>
            </w:pPr>
            <w:r>
              <w:rPr/>
              <w:t>Phase 4</w:t>
            </w:r>
          </w:p>
        </w:tc>
        <w:tc>
          <w:tcPr>
            <w:tcW w:w="3650" w:type="dxa"/>
            <w:tcBorders/>
            <w:vAlign w:val="center"/>
          </w:tcPr>
          <w:p>
            <w:pPr>
              <w:pStyle w:val="TableContents"/>
              <w:bidi w:val="0"/>
              <w:spacing w:before="0" w:after="283"/>
              <w:jc w:val="left"/>
              <w:rPr/>
            </w:pPr>
            <w:r>
              <w:rPr/>
              <w:t>HR Manager</w:t>
            </w:r>
          </w:p>
        </w:tc>
      </w:tr>
      <w:tr>
        <w:trPr/>
        <w:tc>
          <w:tcPr>
            <w:tcW w:w="361" w:type="dxa"/>
            <w:tcBorders/>
            <w:vAlign w:val="center"/>
          </w:tcPr>
          <w:p>
            <w:pPr>
              <w:pStyle w:val="TableContents"/>
              <w:bidi w:val="0"/>
              <w:spacing w:before="0" w:after="283"/>
              <w:jc w:val="left"/>
              <w:rPr/>
            </w:pPr>
            <w:r>
              <w:rPr/>
              <w:t>16</w:t>
            </w:r>
          </w:p>
        </w:tc>
        <w:tc>
          <w:tcPr>
            <w:tcW w:w="4264" w:type="dxa"/>
            <w:tcBorders/>
            <w:vAlign w:val="center"/>
          </w:tcPr>
          <w:p>
            <w:pPr>
              <w:pStyle w:val="TableContents"/>
              <w:bidi w:val="0"/>
              <w:spacing w:before="0" w:after="283"/>
              <w:jc w:val="left"/>
              <w:rPr/>
            </w:pPr>
            <w:r>
              <w:rPr/>
              <w:t>Contract Management</w:t>
            </w:r>
          </w:p>
        </w:tc>
        <w:tc>
          <w:tcPr>
            <w:tcW w:w="3064" w:type="dxa"/>
            <w:tcBorders/>
            <w:vAlign w:val="center"/>
          </w:tcPr>
          <w:p>
            <w:pPr>
              <w:pStyle w:val="TableContents"/>
              <w:bidi w:val="0"/>
              <w:spacing w:before="0" w:after="283"/>
              <w:jc w:val="left"/>
              <w:rPr/>
            </w:pPr>
            <w:r>
              <w:rPr/>
              <w:t>Phase 4</w:t>
            </w:r>
          </w:p>
        </w:tc>
        <w:tc>
          <w:tcPr>
            <w:tcW w:w="3650" w:type="dxa"/>
            <w:tcBorders/>
            <w:vAlign w:val="center"/>
          </w:tcPr>
          <w:p>
            <w:pPr>
              <w:pStyle w:val="TableContents"/>
              <w:bidi w:val="0"/>
              <w:spacing w:before="0" w:after="283"/>
              <w:jc w:val="left"/>
              <w:rPr/>
            </w:pPr>
            <w:r>
              <w:rPr/>
              <w:t>Legal Officer</w:t>
            </w:r>
          </w:p>
        </w:tc>
      </w:tr>
      <w:tr>
        <w:trPr/>
        <w:tc>
          <w:tcPr>
            <w:tcW w:w="361" w:type="dxa"/>
            <w:tcBorders/>
            <w:vAlign w:val="center"/>
          </w:tcPr>
          <w:p>
            <w:pPr>
              <w:pStyle w:val="TableContents"/>
              <w:bidi w:val="0"/>
              <w:spacing w:before="0" w:after="283"/>
              <w:jc w:val="left"/>
              <w:rPr/>
            </w:pPr>
            <w:r>
              <w:rPr/>
              <w:t>17</w:t>
            </w:r>
          </w:p>
        </w:tc>
        <w:tc>
          <w:tcPr>
            <w:tcW w:w="4264" w:type="dxa"/>
            <w:tcBorders/>
            <w:vAlign w:val="center"/>
          </w:tcPr>
          <w:p>
            <w:pPr>
              <w:pStyle w:val="TableContents"/>
              <w:bidi w:val="0"/>
              <w:spacing w:before="0" w:after="283"/>
              <w:jc w:val="left"/>
              <w:rPr/>
            </w:pPr>
            <w:r>
              <w:rPr/>
              <w:t>Management Approvals (cross-cutting)</w:t>
            </w:r>
          </w:p>
        </w:tc>
        <w:tc>
          <w:tcPr>
            <w:tcW w:w="3064" w:type="dxa"/>
            <w:tcBorders/>
            <w:vAlign w:val="center"/>
          </w:tcPr>
          <w:p>
            <w:pPr>
              <w:pStyle w:val="TableContents"/>
              <w:bidi w:val="0"/>
              <w:spacing w:before="0" w:after="283"/>
              <w:jc w:val="left"/>
              <w:rPr/>
            </w:pPr>
            <w:r>
              <w:rPr/>
              <w:t>Phases 1–4, per transaction type</w:t>
            </w:r>
          </w:p>
        </w:tc>
        <w:tc>
          <w:tcPr>
            <w:tcW w:w="3650" w:type="dxa"/>
            <w:tcBorders/>
            <w:vAlign w:val="center"/>
          </w:tcPr>
          <w:p>
            <w:pPr>
              <w:pStyle w:val="TableContents"/>
              <w:bidi w:val="0"/>
              <w:spacing w:before="0" w:after="283"/>
              <w:jc w:val="left"/>
              <w:rPr/>
            </w:pPr>
            <w:r>
              <w:rPr/>
              <w:t>Varies by transaction</w:t>
            </w:r>
          </w:p>
        </w:tc>
      </w:tr>
    </w:tbl>
    <w:p>
      <w:pPr>
        <w:pStyle w:val="Heading2"/>
        <w:bidi w:val="0"/>
        <w:jc w:val="left"/>
        <w:rPr/>
      </w:pPr>
      <w:r>
        <w:rPr/>
        <w:t>4. Current State Pattern (Group-Wide Baseline)</w:t>
      </w:r>
    </w:p>
    <w:p>
      <w:pPr>
        <w:pStyle w:val="BodyText"/>
        <w:bidi w:val="0"/>
        <w:jc w:val="left"/>
        <w:rPr/>
      </w:pPr>
      <w:r>
        <w:rPr/>
        <w:t>In the absence of any centralized system, all processes in Section 3 are assumed to currently follow this general pattern, to be confirmed per-process with each owner:</w:t>
      </w:r>
    </w:p>
    <w:p>
      <w:pPr>
        <w:pStyle w:val="BodyText"/>
        <w:numPr>
          <w:ilvl w:val="0"/>
          <w:numId w:val="1"/>
        </w:numPr>
        <w:tabs>
          <w:tab w:val="clear" w:pos="1134"/>
          <w:tab w:val="left" w:pos="709" w:leader="none"/>
        </w:tabs>
        <w:bidi w:val="0"/>
        <w:spacing w:before="0" w:after="0"/>
        <w:ind w:hanging="283" w:left="709"/>
        <w:jc w:val="left"/>
        <w:rPr/>
      </w:pPr>
      <w:r>
        <w:rPr/>
        <w:t xml:space="preserve">Requests and approvals are made informally — verbally, by phone, or by email/WhatsApp — without a standard form or system record. </w:t>
      </w:r>
    </w:p>
    <w:p>
      <w:pPr>
        <w:pStyle w:val="BodyText"/>
        <w:numPr>
          <w:ilvl w:val="0"/>
          <w:numId w:val="1"/>
        </w:numPr>
        <w:tabs>
          <w:tab w:val="clear" w:pos="1134"/>
          <w:tab w:val="left" w:pos="709" w:leader="none"/>
        </w:tabs>
        <w:bidi w:val="0"/>
        <w:spacing w:before="0" w:after="0"/>
        <w:ind w:hanging="283" w:left="709"/>
        <w:jc w:val="left"/>
        <w:rPr/>
      </w:pPr>
      <w:r>
        <w:rPr/>
        <w:t xml:space="preserve">Records are kept in spreadsheets, paper files, or notebooks maintained separately by each company/branch, with no shared visibility across the Group. </w:t>
      </w:r>
    </w:p>
    <w:p>
      <w:pPr>
        <w:pStyle w:val="BodyText"/>
        <w:numPr>
          <w:ilvl w:val="0"/>
          <w:numId w:val="1"/>
        </w:numPr>
        <w:tabs>
          <w:tab w:val="clear" w:pos="1134"/>
          <w:tab w:val="left" w:pos="709" w:leader="none"/>
        </w:tabs>
        <w:bidi w:val="0"/>
        <w:spacing w:before="0" w:after="0"/>
        <w:ind w:hanging="283" w:left="709"/>
        <w:jc w:val="left"/>
        <w:rPr/>
      </w:pPr>
      <w:r>
        <w:rPr/>
        <w:t xml:space="preserve">There is no enforced approval sequence — a request may be actioned before formal approval is documented, and approval evidence (if any) is not centrally retained. </w:t>
      </w:r>
    </w:p>
    <w:p>
      <w:pPr>
        <w:pStyle w:val="BodyText"/>
        <w:numPr>
          <w:ilvl w:val="0"/>
          <w:numId w:val="1"/>
        </w:numPr>
        <w:tabs>
          <w:tab w:val="clear" w:pos="1134"/>
          <w:tab w:val="left" w:pos="709" w:leader="none"/>
        </w:tabs>
        <w:bidi w:val="0"/>
        <w:spacing w:before="0" w:after="0"/>
        <w:ind w:hanging="283" w:left="709"/>
        <w:jc w:val="left"/>
        <w:rPr/>
      </w:pPr>
      <w:r>
        <w:rPr/>
        <w:t xml:space="preserve">Reconciliation between related records (e.g. a purchase and its payment) is manual and periodic, rather than continuous. </w:t>
      </w:r>
    </w:p>
    <w:p>
      <w:pPr>
        <w:pStyle w:val="BodyText"/>
        <w:numPr>
          <w:ilvl w:val="0"/>
          <w:numId w:val="1"/>
        </w:numPr>
        <w:tabs>
          <w:tab w:val="clear" w:pos="1134"/>
          <w:tab w:val="left" w:pos="709" w:leader="none"/>
        </w:tabs>
        <w:bidi w:val="0"/>
        <w:ind w:hanging="283" w:left="709"/>
        <w:jc w:val="left"/>
        <w:rPr/>
      </w:pPr>
      <w:r>
        <w:rPr/>
        <w:t xml:space="preserve">No audit trail exists showing who took which action and when. </w:t>
      </w:r>
    </w:p>
    <w:p>
      <w:pPr>
        <w:pStyle w:val="BodyText"/>
        <w:bidi w:val="0"/>
        <w:spacing w:before="270" w:after="283"/>
        <w:ind w:hanging="0" w:left="0" w:right="0"/>
        <w:jc w:val="left"/>
        <w:rPr>
          <w:b/>
          <w:color w:val="FFFFFF"/>
          <w:sz w:val="24"/>
          <w:shd w:fill="1F3864" w:val="clear"/>
        </w:rPr>
      </w:pPr>
      <w:r>
        <w:rPr>
          <w:b/>
          <w:color w:val="FFFFFF"/>
          <w:sz w:val="24"/>
          <w:shd w:fill="1F3864" w:val="clear"/>
        </w:rPr>
        <w:t>Phase 1 Processes</w:t>
      </w:r>
    </w:p>
    <w:p>
      <w:pPr>
        <w:pStyle w:val="Heading3"/>
        <w:bidi w:val="0"/>
        <w:jc w:val="left"/>
        <w:rPr/>
      </w:pPr>
      <w:r>
        <w:rPr/>
        <w:t xml:space="preserve">5.1 Company, Branch and User Onboarding </w:t>
      </w:r>
      <w:r>
        <w:rPr>
          <w:i/>
        </w:rPr>
        <w:t>(new process — foundational to MBMS)</w:t>
      </w:r>
    </w:p>
    <w:tbl>
      <w:tblPr>
        <w:tblW w:w="11339" w:type="dxa"/>
        <w:jc w:val="left"/>
        <w:tblInd w:w="28" w:type="dxa"/>
        <w:tblLayout w:type="fixed"/>
        <w:tblCellMar>
          <w:top w:w="28" w:type="dxa"/>
          <w:left w:w="28" w:type="dxa"/>
          <w:bottom w:w="28" w:type="dxa"/>
          <w:right w:w="28" w:type="dxa"/>
        </w:tblCellMar>
      </w:tblPr>
      <w:tblGrid>
        <w:gridCol w:w="1279"/>
        <w:gridCol w:w="10060"/>
      </w:tblGrid>
      <w:tr>
        <w:trPr/>
        <w:tc>
          <w:tcPr>
            <w:tcW w:w="1279" w:type="dxa"/>
            <w:tcBorders/>
            <w:vAlign w:val="center"/>
          </w:tcPr>
          <w:p>
            <w:pPr>
              <w:pStyle w:val="TableHeading"/>
              <w:suppressLineNumbers/>
              <w:shd w:fill="1F3864" w:val="clear"/>
              <w:bidi w:val="0"/>
              <w:spacing w:before="0" w:after="283"/>
              <w:jc w:val="left"/>
              <w:rPr/>
            </w:pPr>
            <w:r>
              <w:rPr/>
              <w:t>Current State</w:t>
            </w:r>
          </w:p>
        </w:tc>
        <w:tc>
          <w:tcPr>
            <w:tcW w:w="10060" w:type="dxa"/>
            <w:tcBorders/>
            <w:vAlign w:val="center"/>
          </w:tcPr>
          <w:p>
            <w:pPr>
              <w:pStyle w:val="TableContents"/>
              <w:bidi w:val="0"/>
              <w:spacing w:before="0" w:after="283"/>
              <w:jc w:val="left"/>
              <w:rPr/>
            </w:pPr>
            <w:r>
              <w:rPr/>
              <w:t>New companies/branches are set up informally as the Group expands, with no standard checklist or central record of the Group's own structure.</w:t>
            </w:r>
          </w:p>
        </w:tc>
      </w:tr>
      <w:tr>
        <w:trPr/>
        <w:tc>
          <w:tcPr>
            <w:tcW w:w="1279" w:type="dxa"/>
            <w:tcBorders/>
            <w:vAlign w:val="center"/>
          </w:tcPr>
          <w:p>
            <w:pPr>
              <w:pStyle w:val="TableHeading"/>
              <w:suppressLineNumbers/>
              <w:shd w:fill="1F3864" w:val="clear"/>
              <w:bidi w:val="0"/>
              <w:spacing w:before="0" w:after="283"/>
              <w:jc w:val="left"/>
              <w:rPr/>
            </w:pPr>
            <w:r>
              <w:rPr/>
              <w:t>Proposed State</w:t>
            </w:r>
          </w:p>
        </w:tc>
        <w:tc>
          <w:tcPr>
            <w:tcW w:w="10060" w:type="dxa"/>
            <w:tcBorders/>
            <w:vAlign w:val="center"/>
          </w:tcPr>
          <w:p>
            <w:pPr>
              <w:pStyle w:val="TableContents"/>
              <w:bidi w:val="0"/>
              <w:spacing w:before="120" w:after="120"/>
              <w:ind w:hanging="0" w:left="120" w:right="120"/>
              <w:jc w:val="left"/>
              <w:rPr>
                <w:rFonts w:ascii="Courier New;monospace" w:hAnsi="Courier New;monospace"/>
                <w:sz w:val="20"/>
                <w:bdr w:val="single" w:sz="2" w:space="8" w:color="C7D3E8"/>
                <w:shd w:fill="F2F5FA" w:val="clear"/>
              </w:rPr>
            </w:pPr>
            <w:r>
              <w:rPr>
                <w:rFonts w:ascii="Courier New;monospace" w:hAnsi="Courier New;monospace"/>
                <w:sz w:val="20"/>
                <w:bdr w:val="single" w:sz="2" w:space="8" w:color="C7D3E8"/>
                <w:shd w:fill="F2F5FA" w:val="clear"/>
              </w:rPr>
              <w:t>Company/Subsidiary Registered → Branches &amp; Departments Added → Ownership/Parent Relationship Defined → Currency &amp; Financial Year Configured → Users Created &amp; Assigned to Company/Branch/Department → Roles &amp; Permissions Assigned → Company Active in System</w:t>
            </w:r>
          </w:p>
        </w:tc>
      </w:tr>
      <w:tr>
        <w:trPr/>
        <w:tc>
          <w:tcPr>
            <w:tcW w:w="1279" w:type="dxa"/>
            <w:tcBorders/>
            <w:vAlign w:val="center"/>
          </w:tcPr>
          <w:p>
            <w:pPr>
              <w:pStyle w:val="TableHeading"/>
              <w:suppressLineNumbers/>
              <w:shd w:fill="1F3864" w:val="clear"/>
              <w:bidi w:val="0"/>
              <w:spacing w:before="0" w:after="283"/>
              <w:jc w:val="left"/>
              <w:rPr/>
            </w:pPr>
            <w:r>
              <w:rPr/>
              <w:t>Source</w:t>
            </w:r>
          </w:p>
        </w:tc>
        <w:tc>
          <w:tcPr>
            <w:tcW w:w="10060" w:type="dxa"/>
            <w:tcBorders/>
            <w:vAlign w:val="center"/>
          </w:tcPr>
          <w:p>
            <w:pPr>
              <w:pStyle w:val="TableContents"/>
              <w:bidi w:val="0"/>
              <w:spacing w:before="0" w:after="283"/>
              <w:jc w:val="left"/>
              <w:rPr/>
            </w:pPr>
            <w:r>
              <w:rPr/>
              <w:t>morise.docx §2 (Company and Holdings Management), §4 (User and Access Management); SRS FR-COMP, FR-USER</w:t>
            </w:r>
          </w:p>
        </w:tc>
      </w:tr>
    </w:tbl>
    <w:p>
      <w:pPr>
        <w:pStyle w:val="Heading3"/>
        <w:bidi w:val="0"/>
        <w:jc w:val="left"/>
        <w:rPr/>
      </w:pPr>
      <w:r>
        <w:rPr/>
        <w:t>5.2 Basic Accounting (Journal Entry, Trial Balance)</w:t>
      </w:r>
    </w:p>
    <w:tbl>
      <w:tblPr>
        <w:tblW w:w="11339" w:type="dxa"/>
        <w:jc w:val="left"/>
        <w:tblInd w:w="28" w:type="dxa"/>
        <w:tblLayout w:type="fixed"/>
        <w:tblCellMar>
          <w:top w:w="28" w:type="dxa"/>
          <w:left w:w="28" w:type="dxa"/>
          <w:bottom w:w="28" w:type="dxa"/>
          <w:right w:w="28" w:type="dxa"/>
        </w:tblCellMar>
      </w:tblPr>
      <w:tblGrid>
        <w:gridCol w:w="1276"/>
        <w:gridCol w:w="10063"/>
      </w:tblGrid>
      <w:tr>
        <w:trPr/>
        <w:tc>
          <w:tcPr>
            <w:tcW w:w="1276" w:type="dxa"/>
            <w:tcBorders/>
            <w:vAlign w:val="center"/>
          </w:tcPr>
          <w:p>
            <w:pPr>
              <w:pStyle w:val="TableHeading"/>
              <w:suppressLineNumbers/>
              <w:shd w:fill="1F3864" w:val="clear"/>
              <w:bidi w:val="0"/>
              <w:spacing w:before="0" w:after="283"/>
              <w:jc w:val="left"/>
              <w:rPr/>
            </w:pPr>
            <w:r>
              <w:rPr/>
              <w:t>Current State</w:t>
            </w:r>
          </w:p>
        </w:tc>
        <w:tc>
          <w:tcPr>
            <w:tcW w:w="10063" w:type="dxa"/>
            <w:tcBorders/>
            <w:vAlign w:val="center"/>
          </w:tcPr>
          <w:p>
            <w:pPr>
              <w:pStyle w:val="TableContents"/>
              <w:bidi w:val="0"/>
              <w:spacing w:before="0" w:after="283"/>
              <w:jc w:val="left"/>
              <w:rPr/>
            </w:pPr>
            <w:r>
              <w:rPr/>
              <w:t>Each company/branch (if it records transactions at all in structured form) uses separate spreadsheets; there is no shared chart of accounts and no Group-level trial balance.</w:t>
            </w:r>
          </w:p>
        </w:tc>
      </w:tr>
      <w:tr>
        <w:trPr/>
        <w:tc>
          <w:tcPr>
            <w:tcW w:w="1276" w:type="dxa"/>
            <w:tcBorders/>
            <w:vAlign w:val="center"/>
          </w:tcPr>
          <w:p>
            <w:pPr>
              <w:pStyle w:val="TableHeading"/>
              <w:suppressLineNumbers/>
              <w:shd w:fill="1F3864" w:val="clear"/>
              <w:bidi w:val="0"/>
              <w:spacing w:before="0" w:after="283"/>
              <w:jc w:val="left"/>
              <w:rPr/>
            </w:pPr>
            <w:r>
              <w:rPr/>
              <w:t>Proposed State</w:t>
            </w:r>
          </w:p>
        </w:tc>
        <w:tc>
          <w:tcPr>
            <w:tcW w:w="10063" w:type="dxa"/>
            <w:tcBorders/>
            <w:vAlign w:val="center"/>
          </w:tcPr>
          <w:p>
            <w:pPr>
              <w:pStyle w:val="TableContents"/>
              <w:bidi w:val="0"/>
              <w:spacing w:before="120" w:after="120"/>
              <w:ind w:hanging="0" w:left="120" w:right="120"/>
              <w:jc w:val="left"/>
              <w:rPr>
                <w:rFonts w:ascii="Courier New;monospace" w:hAnsi="Courier New;monospace"/>
                <w:sz w:val="20"/>
                <w:bdr w:val="single" w:sz="2" w:space="8" w:color="C7D3E8"/>
                <w:shd w:fill="F2F5FA" w:val="clear"/>
              </w:rPr>
            </w:pPr>
            <w:r>
              <w:rPr>
                <w:rFonts w:ascii="Courier New;monospace" w:hAnsi="Courier New;monospace"/>
                <w:sz w:val="20"/>
                <w:bdr w:val="single" w:sz="2" w:space="8" w:color="C7D3E8"/>
                <w:shd w:fill="F2F5FA" w:val="clear"/>
              </w:rPr>
              <w:t>Chart of Accounts Defined per Company → Opening Balances Recorded → Journal Entry Created → Entry Validated (Debits = Credits) → Entry Posted to General Ledger → Trial Balance Generated per Company/Period → Period Closed (subject to authorized adjusting entries)</w:t>
            </w:r>
          </w:p>
        </w:tc>
      </w:tr>
      <w:tr>
        <w:trPr/>
        <w:tc>
          <w:tcPr>
            <w:tcW w:w="1276" w:type="dxa"/>
            <w:tcBorders/>
            <w:vAlign w:val="center"/>
          </w:tcPr>
          <w:p>
            <w:pPr>
              <w:pStyle w:val="TableHeading"/>
              <w:suppressLineNumbers/>
              <w:shd w:fill="1F3864" w:val="clear"/>
              <w:bidi w:val="0"/>
              <w:spacing w:before="0" w:after="283"/>
              <w:jc w:val="left"/>
              <w:rPr/>
            </w:pPr>
            <w:r>
              <w:rPr/>
              <w:t>Source</w:t>
            </w:r>
          </w:p>
        </w:tc>
        <w:tc>
          <w:tcPr>
            <w:tcW w:w="10063" w:type="dxa"/>
            <w:tcBorders/>
            <w:vAlign w:val="center"/>
          </w:tcPr>
          <w:p>
            <w:pPr>
              <w:pStyle w:val="TableContents"/>
              <w:bidi w:val="0"/>
              <w:spacing w:before="0" w:after="283"/>
              <w:jc w:val="left"/>
              <w:rPr/>
            </w:pPr>
            <w:r>
              <w:rPr/>
              <w:t>morise.docx §7 (General Ledger); SRS FR-ACC, BR-03, BR-04</w:t>
            </w:r>
          </w:p>
        </w:tc>
      </w:tr>
    </w:tbl>
    <w:p>
      <w:pPr>
        <w:pStyle w:val="Heading3"/>
        <w:bidi w:val="0"/>
        <w:jc w:val="left"/>
        <w:rPr/>
      </w:pPr>
      <w:r>
        <w:rPr/>
        <w:t>5.3 Employee Records Registration</w:t>
      </w:r>
    </w:p>
    <w:tbl>
      <w:tblPr>
        <w:tblW w:w="11339" w:type="dxa"/>
        <w:jc w:val="left"/>
        <w:tblInd w:w="28" w:type="dxa"/>
        <w:tblLayout w:type="fixed"/>
        <w:tblCellMar>
          <w:top w:w="28" w:type="dxa"/>
          <w:left w:w="28" w:type="dxa"/>
          <w:bottom w:w="28" w:type="dxa"/>
          <w:right w:w="28" w:type="dxa"/>
        </w:tblCellMar>
      </w:tblPr>
      <w:tblGrid>
        <w:gridCol w:w="1352"/>
        <w:gridCol w:w="9987"/>
      </w:tblGrid>
      <w:tr>
        <w:trPr/>
        <w:tc>
          <w:tcPr>
            <w:tcW w:w="1352" w:type="dxa"/>
            <w:tcBorders/>
            <w:vAlign w:val="center"/>
          </w:tcPr>
          <w:p>
            <w:pPr>
              <w:pStyle w:val="TableHeading"/>
              <w:suppressLineNumbers/>
              <w:shd w:fill="1F3864" w:val="clear"/>
              <w:bidi w:val="0"/>
              <w:spacing w:before="0" w:after="283"/>
              <w:jc w:val="left"/>
              <w:rPr/>
            </w:pPr>
            <w:r>
              <w:rPr/>
              <w:t>Current State</w:t>
            </w:r>
          </w:p>
        </w:tc>
        <w:tc>
          <w:tcPr>
            <w:tcW w:w="9987" w:type="dxa"/>
            <w:tcBorders/>
            <w:vAlign w:val="center"/>
          </w:tcPr>
          <w:p>
            <w:pPr>
              <w:pStyle w:val="TableContents"/>
              <w:bidi w:val="0"/>
              <w:spacing w:before="0" w:after="283"/>
              <w:jc w:val="left"/>
              <w:rPr/>
            </w:pPr>
            <w:r>
              <w:rPr/>
              <w:t>Employee information (contracts, ID details, bank/tax information) is held in personal files or spreadsheets per company, often incomplete.</w:t>
            </w:r>
          </w:p>
        </w:tc>
      </w:tr>
      <w:tr>
        <w:trPr/>
        <w:tc>
          <w:tcPr>
            <w:tcW w:w="1352" w:type="dxa"/>
            <w:tcBorders/>
            <w:vAlign w:val="center"/>
          </w:tcPr>
          <w:p>
            <w:pPr>
              <w:pStyle w:val="TableHeading"/>
              <w:suppressLineNumbers/>
              <w:shd w:fill="1F3864" w:val="clear"/>
              <w:bidi w:val="0"/>
              <w:spacing w:before="0" w:after="283"/>
              <w:jc w:val="left"/>
              <w:rPr/>
            </w:pPr>
            <w:r>
              <w:rPr/>
              <w:t>Proposed State</w:t>
            </w:r>
          </w:p>
        </w:tc>
        <w:tc>
          <w:tcPr>
            <w:tcW w:w="9987" w:type="dxa"/>
            <w:tcBorders/>
            <w:vAlign w:val="center"/>
          </w:tcPr>
          <w:p>
            <w:pPr>
              <w:pStyle w:val="TableContents"/>
              <w:bidi w:val="0"/>
              <w:spacing w:before="120" w:after="120"/>
              <w:ind w:hanging="0" w:left="120" w:right="120"/>
              <w:jc w:val="left"/>
              <w:rPr>
                <w:rFonts w:ascii="Courier New;monospace" w:hAnsi="Courier New;monospace"/>
                <w:sz w:val="20"/>
                <w:bdr w:val="single" w:sz="2" w:space="8" w:color="C7D3E8"/>
                <w:shd w:fill="F2F5FA" w:val="clear"/>
              </w:rPr>
            </w:pPr>
            <w:r>
              <w:rPr>
                <w:rFonts w:ascii="Courier New;monospace" w:hAnsi="Courier New;monospace"/>
                <w:sz w:val="20"/>
                <w:bdr w:val="single" w:sz="2" w:space="8" w:color="C7D3E8"/>
                <w:shd w:fill="F2F5FA" w:val="clear"/>
              </w:rPr>
              <w:t>Employee Registered → Identification, Job Title, Department, Branch &amp; Company Recorded → Contract, Bank &amp; Tax Information Captured → Documents Uploaded → Employee Record Active</w:t>
            </w:r>
          </w:p>
        </w:tc>
      </w:tr>
      <w:tr>
        <w:trPr/>
        <w:tc>
          <w:tcPr>
            <w:tcW w:w="1352" w:type="dxa"/>
            <w:tcBorders/>
            <w:vAlign w:val="center"/>
          </w:tcPr>
          <w:p>
            <w:pPr>
              <w:pStyle w:val="TableHeading"/>
              <w:suppressLineNumbers/>
              <w:shd w:fill="1F3864" w:val="clear"/>
              <w:bidi w:val="0"/>
              <w:spacing w:before="0" w:after="283"/>
              <w:jc w:val="left"/>
              <w:rPr/>
            </w:pPr>
            <w:r>
              <w:rPr/>
              <w:t>Source</w:t>
            </w:r>
          </w:p>
        </w:tc>
        <w:tc>
          <w:tcPr>
            <w:tcW w:w="9987" w:type="dxa"/>
            <w:tcBorders/>
            <w:vAlign w:val="center"/>
          </w:tcPr>
          <w:p>
            <w:pPr>
              <w:pStyle w:val="TableContents"/>
              <w:bidi w:val="0"/>
              <w:spacing w:before="0" w:after="283"/>
              <w:jc w:val="left"/>
              <w:rPr/>
            </w:pPr>
            <w:r>
              <w:rPr/>
              <w:t>morise.docx §5 (Employee Management); SRS FR-EMP</w:t>
            </w:r>
          </w:p>
        </w:tc>
      </w:tr>
    </w:tbl>
    <w:p>
      <w:pPr>
        <w:pStyle w:val="BodyText"/>
        <w:bidi w:val="0"/>
        <w:spacing w:before="270" w:after="283"/>
        <w:ind w:hanging="0" w:left="0" w:right="0"/>
        <w:jc w:val="left"/>
        <w:rPr>
          <w:b/>
          <w:color w:val="FFFFFF"/>
          <w:sz w:val="24"/>
          <w:shd w:fill="1F3864" w:val="clear"/>
        </w:rPr>
      </w:pPr>
      <w:r>
        <w:rPr>
          <w:b/>
          <w:color w:val="FFFFFF"/>
          <w:sz w:val="24"/>
          <w:shd w:fill="1F3864" w:val="clear"/>
        </w:rPr>
        <w:t>Phase 2 Processes</w:t>
      </w:r>
    </w:p>
    <w:p>
      <w:pPr>
        <w:pStyle w:val="Heading3"/>
        <w:bidi w:val="0"/>
        <w:jc w:val="left"/>
        <w:rPr/>
      </w:pPr>
      <w:r>
        <w:rPr/>
        <w:t>6.1 Sales and Customer Payments</w:t>
      </w:r>
    </w:p>
    <w:tbl>
      <w:tblPr>
        <w:tblW w:w="11339" w:type="dxa"/>
        <w:jc w:val="left"/>
        <w:tblInd w:w="28" w:type="dxa"/>
        <w:tblLayout w:type="fixed"/>
        <w:tblCellMar>
          <w:top w:w="28" w:type="dxa"/>
          <w:left w:w="28" w:type="dxa"/>
          <w:bottom w:w="28" w:type="dxa"/>
          <w:right w:w="28" w:type="dxa"/>
        </w:tblCellMar>
      </w:tblPr>
      <w:tblGrid>
        <w:gridCol w:w="1512"/>
        <w:gridCol w:w="9827"/>
      </w:tblGrid>
      <w:tr>
        <w:trPr/>
        <w:tc>
          <w:tcPr>
            <w:tcW w:w="1512" w:type="dxa"/>
            <w:tcBorders/>
            <w:vAlign w:val="center"/>
          </w:tcPr>
          <w:p>
            <w:pPr>
              <w:pStyle w:val="TableHeading"/>
              <w:suppressLineNumbers/>
              <w:shd w:fill="1F3864" w:val="clear"/>
              <w:bidi w:val="0"/>
              <w:spacing w:before="0" w:after="283"/>
              <w:jc w:val="left"/>
              <w:rPr/>
            </w:pPr>
            <w:r>
              <w:rPr/>
              <w:t>Current State</w:t>
            </w:r>
          </w:p>
        </w:tc>
        <w:tc>
          <w:tcPr>
            <w:tcW w:w="9827" w:type="dxa"/>
            <w:tcBorders/>
            <w:vAlign w:val="center"/>
          </w:tcPr>
          <w:p>
            <w:pPr>
              <w:pStyle w:val="TableContents"/>
              <w:bidi w:val="0"/>
              <w:spacing w:before="0" w:after="283"/>
              <w:jc w:val="left"/>
              <w:rPr/>
            </w:pPr>
            <w:r>
              <w:rPr/>
              <w:t>Sales are agreed informally or by paper invoice/receipt book; customer balances are tracked manually and are prone to error or dispute.</w:t>
            </w:r>
          </w:p>
        </w:tc>
      </w:tr>
      <w:tr>
        <w:trPr/>
        <w:tc>
          <w:tcPr>
            <w:tcW w:w="1512" w:type="dxa"/>
            <w:tcBorders/>
            <w:vAlign w:val="center"/>
          </w:tcPr>
          <w:p>
            <w:pPr>
              <w:pStyle w:val="TableHeading"/>
              <w:suppressLineNumbers/>
              <w:shd w:fill="1F3864" w:val="clear"/>
              <w:bidi w:val="0"/>
              <w:spacing w:before="0" w:after="283"/>
              <w:jc w:val="left"/>
              <w:rPr/>
            </w:pPr>
            <w:r>
              <w:rPr/>
              <w:t>Proposed State</w:t>
            </w:r>
          </w:p>
        </w:tc>
        <w:tc>
          <w:tcPr>
            <w:tcW w:w="9827" w:type="dxa"/>
            <w:tcBorders/>
            <w:vAlign w:val="center"/>
          </w:tcPr>
          <w:p>
            <w:pPr>
              <w:pStyle w:val="TableContents"/>
              <w:bidi w:val="0"/>
              <w:spacing w:before="120" w:after="120"/>
              <w:ind w:hanging="0" w:left="120" w:right="120"/>
              <w:jc w:val="left"/>
              <w:rPr>
                <w:rFonts w:ascii="Courier New;monospace" w:hAnsi="Courier New;monospace"/>
                <w:sz w:val="20"/>
                <w:bdr w:val="single" w:sz="2" w:space="8" w:color="C7D3E8"/>
                <w:shd w:fill="F2F5FA" w:val="clear"/>
              </w:rPr>
            </w:pPr>
            <w:r>
              <w:rPr>
                <w:rFonts w:ascii="Courier New;monospace" w:hAnsi="Courier New;monospace"/>
                <w:sz w:val="20"/>
                <w:bdr w:val="single" w:sz="2" w:space="8" w:color="C7D3E8"/>
                <w:shd w:fill="F2F5FA" w:val="clear"/>
              </w:rPr>
              <w:t>Lead → Opportunity → Quotation → Sales Order → Delivery → Invoice → Payment/Receipt</w:t>
            </w:r>
          </w:p>
          <w:p>
            <w:pPr>
              <w:pStyle w:val="TableContents"/>
              <w:bidi w:val="0"/>
              <w:spacing w:before="60" w:after="60"/>
              <w:ind w:hanging="0" w:left="60" w:right="60"/>
              <w:jc w:val="left"/>
              <w:rPr/>
            </w:pPr>
            <w:r>
              <w:rPr>
                <w:b/>
              </w:rPr>
              <w:t>Invoice status:</w:t>
            </w:r>
            <w:r>
              <w:rPr/>
              <w:t xml:space="preserve"> DRAFT → ISSUED → PARTIALLY PAID → PAID / OVERDUE</w:t>
            </w:r>
          </w:p>
        </w:tc>
      </w:tr>
      <w:tr>
        <w:trPr/>
        <w:tc>
          <w:tcPr>
            <w:tcW w:w="1512" w:type="dxa"/>
            <w:tcBorders/>
            <w:vAlign w:val="center"/>
          </w:tcPr>
          <w:p>
            <w:pPr>
              <w:pStyle w:val="TableHeading"/>
              <w:suppressLineNumbers/>
              <w:shd w:fill="1F3864" w:val="clear"/>
              <w:bidi w:val="0"/>
              <w:spacing w:before="0" w:after="283"/>
              <w:jc w:val="left"/>
              <w:rPr/>
            </w:pPr>
            <w:r>
              <w:rPr/>
              <w:t>Source</w:t>
            </w:r>
          </w:p>
        </w:tc>
        <w:tc>
          <w:tcPr>
            <w:tcW w:w="9827" w:type="dxa"/>
            <w:tcBorders/>
            <w:vAlign w:val="center"/>
          </w:tcPr>
          <w:p>
            <w:pPr>
              <w:pStyle w:val="TableContents"/>
              <w:bidi w:val="0"/>
              <w:spacing w:before="0" w:after="283"/>
              <w:jc w:val="left"/>
              <w:rPr/>
            </w:pPr>
            <w:r>
              <w:rPr/>
              <w:t>morise.docx §10 (Sales Management), §48 (Sales Workflow); Multi Holdings procedures, Phase 11 (Invoice Status Example)</w:t>
            </w:r>
          </w:p>
        </w:tc>
      </w:tr>
    </w:tbl>
    <w:p>
      <w:pPr>
        <w:pStyle w:val="Heading3"/>
        <w:bidi w:val="0"/>
        <w:jc w:val="left"/>
        <w:rPr/>
      </w:pPr>
      <w:r>
        <w:rPr/>
        <w:t>6.2 Procurement and Supplier Payments</w:t>
      </w:r>
    </w:p>
    <w:p>
      <w:pPr>
        <w:pStyle w:val="BodyText"/>
        <w:bidi w:val="0"/>
        <w:spacing w:before="150" w:after="150"/>
        <w:ind w:hanging="0" w:left="150" w:right="150"/>
        <w:jc w:val="left"/>
        <w:rPr>
          <w:sz w:val="21"/>
          <w:bdr w:val="single" w:sz="24" w:space="9" w:color="D98C00"/>
          <w:shd w:fill="FFF4E5" w:val="clear"/>
        </w:rPr>
      </w:pPr>
      <w:r>
        <w:rPr>
          <w:b/>
          <w:sz w:val="21"/>
          <w:bdr w:val="single" w:sz="24" w:space="9" w:color="D98C00"/>
          <w:shd w:fill="FFF4E5" w:val="clear"/>
        </w:rPr>
        <w:t>Note on sources:</w:t>
      </w:r>
      <w:r>
        <w:rPr>
          <w:sz w:val="21"/>
          <w:bdr w:val="single" w:sz="24" w:space="9" w:color="D98C00"/>
          <w:shd w:fill="FFF4E5" w:val="clear"/>
        </w:rPr>
        <w:t xml:space="preserve"> the Group's own documents describe this workflow three slightly different ways — morise.docx §11 ("Employee/Department Request → Department Approval → Procurement → Supplier Quotations → Evaluation → Management Approval → Purchase Order → Delivery → Inspection → Invoice → Payment"), morise.docx §48 ("Requisition → Approval → RFQ → Supplier Selection → Purchase Order → Delivery → Invoice → Payment"), and the Group's software development procedures, Phase 3 ("Department Request → Purchase Requisition → Manager Approval → Procurement → Request Quotations → Supplier Selection → Purchase Order → Goods Received → Supplier Invoice → Finance Verification → Payment"). This document reconciles all three into one canonical proposed workflow, combining every step present in any source version so no control point described elsewhere in the Group's documentation is lost.</w:t>
      </w:r>
    </w:p>
    <w:tbl>
      <w:tblPr>
        <w:tblW w:w="11339" w:type="dxa"/>
        <w:jc w:val="left"/>
        <w:tblInd w:w="28" w:type="dxa"/>
        <w:tblLayout w:type="fixed"/>
        <w:tblCellMar>
          <w:top w:w="28" w:type="dxa"/>
          <w:left w:w="28" w:type="dxa"/>
          <w:bottom w:w="28" w:type="dxa"/>
          <w:right w:w="28" w:type="dxa"/>
        </w:tblCellMar>
      </w:tblPr>
      <w:tblGrid>
        <w:gridCol w:w="1603"/>
        <w:gridCol w:w="9736"/>
      </w:tblGrid>
      <w:tr>
        <w:trPr/>
        <w:tc>
          <w:tcPr>
            <w:tcW w:w="1603" w:type="dxa"/>
            <w:tcBorders/>
            <w:vAlign w:val="center"/>
          </w:tcPr>
          <w:p>
            <w:pPr>
              <w:pStyle w:val="TableHeading"/>
              <w:suppressLineNumbers/>
              <w:shd w:fill="1F3864" w:val="clear"/>
              <w:bidi w:val="0"/>
              <w:spacing w:before="0" w:after="283"/>
              <w:jc w:val="left"/>
              <w:rPr/>
            </w:pPr>
            <w:r>
              <w:rPr/>
              <w:t>Current State</w:t>
            </w:r>
          </w:p>
        </w:tc>
        <w:tc>
          <w:tcPr>
            <w:tcW w:w="9736" w:type="dxa"/>
            <w:tcBorders/>
            <w:vAlign w:val="center"/>
          </w:tcPr>
          <w:p>
            <w:pPr>
              <w:pStyle w:val="TableContents"/>
              <w:bidi w:val="0"/>
              <w:spacing w:before="0" w:after="283"/>
              <w:jc w:val="left"/>
              <w:rPr/>
            </w:pPr>
            <w:r>
              <w:rPr/>
              <w:t>Purchases are requested verbally or by note to the person handling procurement; supplier selection and payment approval are not consistently documented.</w:t>
            </w:r>
          </w:p>
        </w:tc>
      </w:tr>
      <w:tr>
        <w:trPr/>
        <w:tc>
          <w:tcPr>
            <w:tcW w:w="1603" w:type="dxa"/>
            <w:tcBorders/>
            <w:vAlign w:val="center"/>
          </w:tcPr>
          <w:p>
            <w:pPr>
              <w:pStyle w:val="TableHeading"/>
              <w:suppressLineNumbers/>
              <w:shd w:fill="1F3864" w:val="clear"/>
              <w:bidi w:val="0"/>
              <w:spacing w:before="0" w:after="283"/>
              <w:jc w:val="left"/>
              <w:rPr/>
            </w:pPr>
            <w:r>
              <w:rPr/>
              <w:t>Proposed State (reconciled)</w:t>
            </w:r>
          </w:p>
        </w:tc>
        <w:tc>
          <w:tcPr>
            <w:tcW w:w="9736" w:type="dxa"/>
            <w:tcBorders/>
            <w:vAlign w:val="center"/>
          </w:tcPr>
          <w:p>
            <w:pPr>
              <w:pStyle w:val="TableContents"/>
              <w:bidi w:val="0"/>
              <w:spacing w:before="120" w:after="120"/>
              <w:ind w:hanging="0" w:left="120" w:right="120"/>
              <w:jc w:val="left"/>
              <w:rPr>
                <w:rFonts w:ascii="Courier New;monospace" w:hAnsi="Courier New;monospace"/>
                <w:sz w:val="20"/>
                <w:bdr w:val="single" w:sz="2" w:space="8" w:color="C7D3E8"/>
                <w:shd w:fill="F2F5FA" w:val="clear"/>
              </w:rPr>
            </w:pPr>
            <w:r>
              <w:rPr>
                <w:rFonts w:ascii="Courier New;monospace" w:hAnsi="Courier New;monospace"/>
                <w:sz w:val="20"/>
                <w:bdr w:val="single" w:sz="2" w:space="8" w:color="C7D3E8"/>
                <w:shd w:fill="F2F5FA" w:val="clear"/>
              </w:rPr>
              <w:t>Department/Employee Request → Purchase Requisition → Department/Manager Approval → Procurement Review → Request for Quotations (RFQ) / Supplier Quotations → Supplier Evaluation &amp; Selection → Management Approval → Purchase Order Issued → Goods/Services Delivered → Inspection / Goods Received Note → Supplier Invoice Recorded → Finance Verification → Payment → Order Closed</w:t>
            </w:r>
          </w:p>
          <w:p>
            <w:pPr>
              <w:pStyle w:val="TableContents"/>
              <w:bidi w:val="0"/>
              <w:spacing w:before="60" w:after="60"/>
              <w:ind w:hanging="0" w:left="60" w:right="60"/>
              <w:jc w:val="left"/>
              <w:rPr/>
            </w:pPr>
            <w:r>
              <w:rPr>
                <w:b/>
              </w:rPr>
              <w:t>Purchase order status:</w:t>
            </w:r>
            <w:r>
              <w:rPr/>
              <w:t xml:space="preserve"> DRAFT → SUBMITTED → PENDING APPROVAL → APPROVED → ORDERED → PARTIALLY RECEIVED → FULLY RECEIVED → INVOICED → PAID → CLOSED</w:t>
            </w:r>
          </w:p>
        </w:tc>
      </w:tr>
      <w:tr>
        <w:trPr/>
        <w:tc>
          <w:tcPr>
            <w:tcW w:w="1603" w:type="dxa"/>
            <w:tcBorders/>
            <w:vAlign w:val="center"/>
          </w:tcPr>
          <w:p>
            <w:pPr>
              <w:pStyle w:val="TableHeading"/>
              <w:suppressLineNumbers/>
              <w:shd w:fill="1F3864" w:val="clear"/>
              <w:bidi w:val="0"/>
              <w:spacing w:before="0" w:after="283"/>
              <w:jc w:val="left"/>
              <w:rPr/>
            </w:pPr>
            <w:r>
              <w:rPr/>
              <w:t>Source</w:t>
            </w:r>
          </w:p>
        </w:tc>
        <w:tc>
          <w:tcPr>
            <w:tcW w:w="9736" w:type="dxa"/>
            <w:tcBorders/>
            <w:vAlign w:val="center"/>
          </w:tcPr>
          <w:p>
            <w:pPr>
              <w:pStyle w:val="TableContents"/>
              <w:bidi w:val="0"/>
              <w:spacing w:before="0" w:after="283"/>
              <w:jc w:val="left"/>
              <w:rPr/>
            </w:pPr>
            <w:r>
              <w:rPr/>
              <w:t>morise.docx §11, §48; Multi Holdings procedures, Phase 3 and Phase 11 (reconciled per note above)</w:t>
            </w:r>
          </w:p>
        </w:tc>
      </w:tr>
    </w:tbl>
    <w:p>
      <w:pPr>
        <w:pStyle w:val="Heading3"/>
        <w:bidi w:val="0"/>
        <w:jc w:val="left"/>
        <w:rPr/>
      </w:pPr>
      <w:r>
        <w:rPr/>
        <w:t>6.3 Inventory and Warehouse Operations</w:t>
      </w:r>
    </w:p>
    <w:tbl>
      <w:tblPr>
        <w:tblW w:w="11339" w:type="dxa"/>
        <w:jc w:val="left"/>
        <w:tblInd w:w="28" w:type="dxa"/>
        <w:tblLayout w:type="fixed"/>
        <w:tblCellMar>
          <w:top w:w="28" w:type="dxa"/>
          <w:left w:w="28" w:type="dxa"/>
          <w:bottom w:w="28" w:type="dxa"/>
          <w:right w:w="28" w:type="dxa"/>
        </w:tblCellMar>
      </w:tblPr>
      <w:tblGrid>
        <w:gridCol w:w="1307"/>
        <w:gridCol w:w="10032"/>
      </w:tblGrid>
      <w:tr>
        <w:trPr/>
        <w:tc>
          <w:tcPr>
            <w:tcW w:w="1307" w:type="dxa"/>
            <w:tcBorders/>
            <w:vAlign w:val="center"/>
          </w:tcPr>
          <w:p>
            <w:pPr>
              <w:pStyle w:val="TableHeading"/>
              <w:suppressLineNumbers/>
              <w:shd w:fill="1F3864" w:val="clear"/>
              <w:bidi w:val="0"/>
              <w:spacing w:before="0" w:after="283"/>
              <w:jc w:val="left"/>
              <w:rPr/>
            </w:pPr>
            <w:r>
              <w:rPr/>
              <w:t>Current State</w:t>
            </w:r>
          </w:p>
        </w:tc>
        <w:tc>
          <w:tcPr>
            <w:tcW w:w="10032" w:type="dxa"/>
            <w:tcBorders/>
            <w:vAlign w:val="center"/>
          </w:tcPr>
          <w:p>
            <w:pPr>
              <w:pStyle w:val="TableContents"/>
              <w:bidi w:val="0"/>
              <w:spacing w:before="0" w:after="283"/>
              <w:jc w:val="left"/>
              <w:rPr/>
            </w:pPr>
            <w:r>
              <w:rPr/>
              <w:t>Stock levels are tracked (if at all) by manual count or spreadsheet, with no systematic reorder alerts, leading to stockouts or overstocking discovered only on physical count.</w:t>
            </w:r>
          </w:p>
        </w:tc>
      </w:tr>
      <w:tr>
        <w:trPr/>
        <w:tc>
          <w:tcPr>
            <w:tcW w:w="1307" w:type="dxa"/>
            <w:tcBorders/>
            <w:vAlign w:val="center"/>
          </w:tcPr>
          <w:p>
            <w:pPr>
              <w:pStyle w:val="TableHeading"/>
              <w:suppressLineNumbers/>
              <w:shd w:fill="1F3864" w:val="clear"/>
              <w:bidi w:val="0"/>
              <w:spacing w:before="0" w:after="283"/>
              <w:jc w:val="left"/>
              <w:rPr/>
            </w:pPr>
            <w:r>
              <w:rPr/>
              <w:t>Proposed State</w:t>
            </w:r>
          </w:p>
        </w:tc>
        <w:tc>
          <w:tcPr>
            <w:tcW w:w="10032" w:type="dxa"/>
            <w:tcBorders/>
            <w:vAlign w:val="center"/>
          </w:tcPr>
          <w:p>
            <w:pPr>
              <w:pStyle w:val="TableContents"/>
              <w:bidi w:val="0"/>
              <w:spacing w:before="120" w:after="120"/>
              <w:ind w:hanging="0" w:left="120" w:right="120"/>
              <w:jc w:val="left"/>
              <w:rPr>
                <w:rFonts w:ascii="Courier New;monospace" w:hAnsi="Courier New;monospace"/>
                <w:sz w:val="20"/>
                <w:bdr w:val="single" w:sz="2" w:space="8" w:color="C7D3E8"/>
                <w:shd w:fill="F2F5FA" w:val="clear"/>
              </w:rPr>
            </w:pPr>
            <w:r>
              <w:rPr>
                <w:rFonts w:ascii="Courier New;monospace" w:hAnsi="Courier New;monospace"/>
                <w:sz w:val="20"/>
                <w:bdr w:val="single" w:sz="2" w:space="8" w:color="C7D3E8"/>
                <w:shd w:fill="F2F5FA" w:val="clear"/>
              </w:rPr>
              <w:t>Goods Received (from Procurement) → Stock Receipt Recorded → Stock Held at Warehouse/Location → Stock Issue / Transfer as Needed → Reorder Level Alert When Low → Periodic Stock Count &amp; Adjustment → Stock Valuation Updated</w:t>
            </w:r>
          </w:p>
        </w:tc>
      </w:tr>
      <w:tr>
        <w:trPr/>
        <w:tc>
          <w:tcPr>
            <w:tcW w:w="1307" w:type="dxa"/>
            <w:tcBorders/>
            <w:vAlign w:val="center"/>
          </w:tcPr>
          <w:p>
            <w:pPr>
              <w:pStyle w:val="TableHeading"/>
              <w:suppressLineNumbers/>
              <w:shd w:fill="1F3864" w:val="clear"/>
              <w:bidi w:val="0"/>
              <w:spacing w:before="0" w:after="283"/>
              <w:jc w:val="left"/>
              <w:rPr/>
            </w:pPr>
            <w:r>
              <w:rPr/>
              <w:t>Source</w:t>
            </w:r>
          </w:p>
        </w:tc>
        <w:tc>
          <w:tcPr>
            <w:tcW w:w="10032" w:type="dxa"/>
            <w:tcBorders/>
            <w:vAlign w:val="center"/>
          </w:tcPr>
          <w:p>
            <w:pPr>
              <w:pStyle w:val="TableContents"/>
              <w:bidi w:val="0"/>
              <w:spacing w:before="0" w:after="283"/>
              <w:jc w:val="left"/>
              <w:rPr/>
            </w:pPr>
            <w:r>
              <w:rPr/>
              <w:t>morise.docx §13 (Inventory Management), §14 (Warehouse Management)</w:t>
            </w:r>
          </w:p>
        </w:tc>
      </w:tr>
    </w:tbl>
    <w:p>
      <w:pPr>
        <w:pStyle w:val="Heading3"/>
        <w:bidi w:val="0"/>
        <w:jc w:val="left"/>
        <w:rPr/>
      </w:pPr>
      <w:r>
        <w:rPr/>
        <w:t>6.4 Expense Claims</w:t>
      </w:r>
    </w:p>
    <w:tbl>
      <w:tblPr>
        <w:tblW w:w="11339" w:type="dxa"/>
        <w:jc w:val="left"/>
        <w:tblInd w:w="28" w:type="dxa"/>
        <w:tblLayout w:type="fixed"/>
        <w:tblCellMar>
          <w:top w:w="28" w:type="dxa"/>
          <w:left w:w="28" w:type="dxa"/>
          <w:bottom w:w="28" w:type="dxa"/>
          <w:right w:w="28" w:type="dxa"/>
        </w:tblCellMar>
      </w:tblPr>
      <w:tblGrid>
        <w:gridCol w:w="1489"/>
        <w:gridCol w:w="9850"/>
      </w:tblGrid>
      <w:tr>
        <w:trPr/>
        <w:tc>
          <w:tcPr>
            <w:tcW w:w="1489" w:type="dxa"/>
            <w:tcBorders/>
            <w:vAlign w:val="center"/>
          </w:tcPr>
          <w:p>
            <w:pPr>
              <w:pStyle w:val="TableHeading"/>
              <w:suppressLineNumbers/>
              <w:shd w:fill="1F3864" w:val="clear"/>
              <w:bidi w:val="0"/>
              <w:spacing w:before="0" w:after="283"/>
              <w:jc w:val="left"/>
              <w:rPr/>
            </w:pPr>
            <w:r>
              <w:rPr/>
              <w:t>Current State</w:t>
            </w:r>
          </w:p>
        </w:tc>
        <w:tc>
          <w:tcPr>
            <w:tcW w:w="9850" w:type="dxa"/>
            <w:tcBorders/>
            <w:vAlign w:val="center"/>
          </w:tcPr>
          <w:p>
            <w:pPr>
              <w:pStyle w:val="TableContents"/>
              <w:bidi w:val="0"/>
              <w:spacing w:before="0" w:after="283"/>
              <w:jc w:val="left"/>
              <w:rPr/>
            </w:pPr>
            <w:r>
              <w:rPr/>
              <w:t>Employees pay for minor expenses out of pocket and reclaim informally, or use petty cash without a consistent receipt/approval trail.</w:t>
            </w:r>
          </w:p>
        </w:tc>
      </w:tr>
      <w:tr>
        <w:trPr/>
        <w:tc>
          <w:tcPr>
            <w:tcW w:w="1489" w:type="dxa"/>
            <w:tcBorders/>
            <w:vAlign w:val="center"/>
          </w:tcPr>
          <w:p>
            <w:pPr>
              <w:pStyle w:val="TableHeading"/>
              <w:suppressLineNumbers/>
              <w:shd w:fill="1F3864" w:val="clear"/>
              <w:bidi w:val="0"/>
              <w:spacing w:before="0" w:after="283"/>
              <w:jc w:val="left"/>
              <w:rPr/>
            </w:pPr>
            <w:r>
              <w:rPr/>
              <w:t>Proposed State</w:t>
            </w:r>
          </w:p>
        </w:tc>
        <w:tc>
          <w:tcPr>
            <w:tcW w:w="9850" w:type="dxa"/>
            <w:tcBorders/>
            <w:vAlign w:val="center"/>
          </w:tcPr>
          <w:p>
            <w:pPr>
              <w:pStyle w:val="TableContents"/>
              <w:bidi w:val="0"/>
              <w:spacing w:before="120" w:after="120"/>
              <w:ind w:hanging="0" w:left="120" w:right="120"/>
              <w:jc w:val="left"/>
              <w:rPr>
                <w:rFonts w:ascii="Courier New;monospace" w:hAnsi="Courier New;monospace"/>
                <w:sz w:val="20"/>
                <w:bdr w:val="single" w:sz="2" w:space="8" w:color="C7D3E8"/>
                <w:shd w:fill="F2F5FA" w:val="clear"/>
              </w:rPr>
            </w:pPr>
            <w:r>
              <w:rPr>
                <w:rFonts w:ascii="Courier New;monospace" w:hAnsi="Courier New;monospace"/>
                <w:sz w:val="20"/>
                <w:bdr w:val="single" w:sz="2" w:space="8" w:color="C7D3E8"/>
                <w:shd w:fill="F2F5FA" w:val="clear"/>
              </w:rPr>
              <w:t>Expense Incurred → Receipt Uploaded → Manager Approval → Finance Approval → Payment/Reimbursement → Posted to Accounting</w:t>
            </w:r>
          </w:p>
        </w:tc>
      </w:tr>
      <w:tr>
        <w:trPr/>
        <w:tc>
          <w:tcPr>
            <w:tcW w:w="1489" w:type="dxa"/>
            <w:tcBorders/>
            <w:vAlign w:val="center"/>
          </w:tcPr>
          <w:p>
            <w:pPr>
              <w:pStyle w:val="TableHeading"/>
              <w:suppressLineNumbers/>
              <w:shd w:fill="1F3864" w:val="clear"/>
              <w:bidi w:val="0"/>
              <w:spacing w:before="0" w:after="283"/>
              <w:jc w:val="left"/>
              <w:rPr/>
            </w:pPr>
            <w:r>
              <w:rPr/>
              <w:t>Source</w:t>
            </w:r>
          </w:p>
        </w:tc>
        <w:tc>
          <w:tcPr>
            <w:tcW w:w="9850" w:type="dxa"/>
            <w:tcBorders/>
            <w:vAlign w:val="center"/>
          </w:tcPr>
          <w:p>
            <w:pPr>
              <w:pStyle w:val="TableContents"/>
              <w:bidi w:val="0"/>
              <w:spacing w:before="0" w:after="283"/>
              <w:jc w:val="left"/>
              <w:rPr/>
            </w:pPr>
            <w:r>
              <w:rPr/>
              <w:t>morise.docx §22 (Expense Management), §48 (Expense Workflow)</w:t>
            </w:r>
          </w:p>
        </w:tc>
      </w:tr>
    </w:tbl>
    <w:p>
      <w:pPr>
        <w:pStyle w:val="Heading3"/>
        <w:bidi w:val="0"/>
        <w:jc w:val="left"/>
        <w:rPr/>
      </w:pPr>
      <w:r>
        <w:rPr/>
        <w:t>6.5 Asset Acquisition and Disposal</w:t>
      </w:r>
    </w:p>
    <w:tbl>
      <w:tblPr>
        <w:tblW w:w="11339" w:type="dxa"/>
        <w:jc w:val="left"/>
        <w:tblInd w:w="28" w:type="dxa"/>
        <w:tblLayout w:type="fixed"/>
        <w:tblCellMar>
          <w:top w:w="28" w:type="dxa"/>
          <w:left w:w="28" w:type="dxa"/>
          <w:bottom w:w="28" w:type="dxa"/>
          <w:right w:w="28" w:type="dxa"/>
        </w:tblCellMar>
      </w:tblPr>
      <w:tblGrid>
        <w:gridCol w:w="2168"/>
        <w:gridCol w:w="9171"/>
      </w:tblGrid>
      <w:tr>
        <w:trPr/>
        <w:tc>
          <w:tcPr>
            <w:tcW w:w="2168" w:type="dxa"/>
            <w:tcBorders/>
            <w:vAlign w:val="center"/>
          </w:tcPr>
          <w:p>
            <w:pPr>
              <w:pStyle w:val="TableHeading"/>
              <w:suppressLineNumbers/>
              <w:shd w:fill="1F3864" w:val="clear"/>
              <w:bidi w:val="0"/>
              <w:spacing w:before="0" w:after="283"/>
              <w:jc w:val="left"/>
              <w:rPr/>
            </w:pPr>
            <w:r>
              <w:rPr/>
              <w:t>Current State</w:t>
            </w:r>
          </w:p>
        </w:tc>
        <w:tc>
          <w:tcPr>
            <w:tcW w:w="9171" w:type="dxa"/>
            <w:tcBorders/>
            <w:vAlign w:val="center"/>
          </w:tcPr>
          <w:p>
            <w:pPr>
              <w:pStyle w:val="TableContents"/>
              <w:bidi w:val="0"/>
              <w:spacing w:before="0" w:after="283"/>
              <w:jc w:val="left"/>
              <w:rPr/>
            </w:pPr>
            <w:r>
              <w:rPr/>
              <w:t>Assets (vehicles, equipment, furniture) are purchased through the same informal procurement process and are not centrally registered, making it hard to know what the Group owns or who is responsible for each item.</w:t>
            </w:r>
          </w:p>
        </w:tc>
      </w:tr>
      <w:tr>
        <w:trPr/>
        <w:tc>
          <w:tcPr>
            <w:tcW w:w="2168" w:type="dxa"/>
            <w:tcBorders/>
            <w:vAlign w:val="center"/>
          </w:tcPr>
          <w:p>
            <w:pPr>
              <w:pStyle w:val="TableHeading"/>
              <w:suppressLineNumbers/>
              <w:shd w:fill="1F3864" w:val="clear"/>
              <w:bidi w:val="0"/>
              <w:spacing w:before="0" w:after="283"/>
              <w:jc w:val="left"/>
              <w:rPr/>
            </w:pPr>
            <w:r>
              <w:rPr/>
              <w:t>Proposed State — Acquisition</w:t>
            </w:r>
          </w:p>
        </w:tc>
        <w:tc>
          <w:tcPr>
            <w:tcW w:w="9171" w:type="dxa"/>
            <w:tcBorders/>
            <w:vAlign w:val="center"/>
          </w:tcPr>
          <w:p>
            <w:pPr>
              <w:pStyle w:val="TableContents"/>
              <w:bidi w:val="0"/>
              <w:spacing w:before="120" w:after="120"/>
              <w:ind w:hanging="0" w:left="120" w:right="120"/>
              <w:jc w:val="left"/>
              <w:rPr>
                <w:rFonts w:ascii="Courier New;monospace" w:hAnsi="Courier New;monospace"/>
                <w:sz w:val="20"/>
                <w:bdr w:val="single" w:sz="2" w:space="8" w:color="C7D3E8"/>
                <w:shd w:fill="F2F5FA" w:val="clear"/>
              </w:rPr>
            </w:pPr>
            <w:r>
              <w:rPr>
                <w:rFonts w:ascii="Courier New;monospace" w:hAnsi="Courier New;monospace"/>
                <w:sz w:val="20"/>
                <w:bdr w:val="single" w:sz="2" w:space="8" w:color="C7D3E8"/>
                <w:shd w:fill="F2F5FA" w:val="clear"/>
              </w:rPr>
              <w:t>Purchase Approved (via Procurement Workflow, §6.2) → Asset Registered → Category, Location &amp; Custodian Assigned → Depreciation Schedule Set → Asset Active</w:t>
            </w:r>
          </w:p>
        </w:tc>
      </w:tr>
      <w:tr>
        <w:trPr/>
        <w:tc>
          <w:tcPr>
            <w:tcW w:w="2168" w:type="dxa"/>
            <w:tcBorders/>
            <w:vAlign w:val="center"/>
          </w:tcPr>
          <w:p>
            <w:pPr>
              <w:pStyle w:val="TableHeading"/>
              <w:suppressLineNumbers/>
              <w:shd w:fill="1F3864" w:val="clear"/>
              <w:bidi w:val="0"/>
              <w:spacing w:before="0" w:after="283"/>
              <w:jc w:val="left"/>
              <w:rPr/>
            </w:pPr>
            <w:r>
              <w:rPr/>
              <w:t>Proposed State — Disposal</w:t>
            </w:r>
          </w:p>
        </w:tc>
        <w:tc>
          <w:tcPr>
            <w:tcW w:w="9171" w:type="dxa"/>
            <w:tcBorders/>
            <w:vAlign w:val="center"/>
          </w:tcPr>
          <w:p>
            <w:pPr>
              <w:pStyle w:val="TableContents"/>
              <w:bidi w:val="0"/>
              <w:spacing w:before="120" w:after="120"/>
              <w:ind w:hanging="0" w:left="120" w:right="120"/>
              <w:jc w:val="left"/>
              <w:rPr>
                <w:rFonts w:ascii="Courier New;monospace" w:hAnsi="Courier New;monospace"/>
                <w:sz w:val="20"/>
                <w:bdr w:val="single" w:sz="2" w:space="8" w:color="C7D3E8"/>
                <w:shd w:fill="F2F5FA" w:val="clear"/>
              </w:rPr>
            </w:pPr>
            <w:r>
              <w:rPr>
                <w:rFonts w:ascii="Courier New;monospace" w:hAnsi="Courier New;monospace"/>
                <w:sz w:val="20"/>
                <w:bdr w:val="single" w:sz="2" w:space="8" w:color="C7D3E8"/>
                <w:shd w:fill="F2F5FA" w:val="clear"/>
              </w:rPr>
              <w:t>Disposal Request → Management Approval → Asset Inspection → Disposal Executed (sale/write-off) → Asset Record Closed</w:t>
            </w:r>
          </w:p>
        </w:tc>
      </w:tr>
      <w:tr>
        <w:trPr/>
        <w:tc>
          <w:tcPr>
            <w:tcW w:w="2168" w:type="dxa"/>
            <w:tcBorders/>
            <w:vAlign w:val="center"/>
          </w:tcPr>
          <w:p>
            <w:pPr>
              <w:pStyle w:val="TableHeading"/>
              <w:suppressLineNumbers/>
              <w:shd w:fill="1F3864" w:val="clear"/>
              <w:bidi w:val="0"/>
              <w:spacing w:before="0" w:after="283"/>
              <w:jc w:val="left"/>
              <w:rPr/>
            </w:pPr>
            <w:r>
              <w:rPr/>
              <w:t>Source</w:t>
            </w:r>
          </w:p>
        </w:tc>
        <w:tc>
          <w:tcPr>
            <w:tcW w:w="9171" w:type="dxa"/>
            <w:tcBorders/>
            <w:vAlign w:val="center"/>
          </w:tcPr>
          <w:p>
            <w:pPr>
              <w:pStyle w:val="TableContents"/>
              <w:bidi w:val="0"/>
              <w:spacing w:before="0" w:after="283"/>
              <w:jc w:val="left"/>
              <w:rPr/>
            </w:pPr>
            <w:r>
              <w:rPr/>
              <w:t>morise.docx §15 (Asset Management)</w:t>
            </w:r>
          </w:p>
        </w:tc>
      </w:tr>
    </w:tbl>
    <w:p>
      <w:pPr>
        <w:pStyle w:val="Heading3"/>
        <w:bidi w:val="0"/>
        <w:jc w:val="left"/>
        <w:rPr/>
      </w:pPr>
      <w:r>
        <w:rPr/>
        <w:t>6.6 Project Management</w:t>
      </w:r>
    </w:p>
    <w:tbl>
      <w:tblPr>
        <w:tblW w:w="11339" w:type="dxa"/>
        <w:jc w:val="left"/>
        <w:tblInd w:w="28" w:type="dxa"/>
        <w:tblLayout w:type="fixed"/>
        <w:tblCellMar>
          <w:top w:w="28" w:type="dxa"/>
          <w:left w:w="28" w:type="dxa"/>
          <w:bottom w:w="28" w:type="dxa"/>
          <w:right w:w="28" w:type="dxa"/>
        </w:tblCellMar>
      </w:tblPr>
      <w:tblGrid>
        <w:gridCol w:w="1361"/>
        <w:gridCol w:w="9978"/>
      </w:tblGrid>
      <w:tr>
        <w:trPr/>
        <w:tc>
          <w:tcPr>
            <w:tcW w:w="1361" w:type="dxa"/>
            <w:tcBorders/>
            <w:vAlign w:val="center"/>
          </w:tcPr>
          <w:p>
            <w:pPr>
              <w:pStyle w:val="TableHeading"/>
              <w:suppressLineNumbers/>
              <w:shd w:fill="1F3864" w:val="clear"/>
              <w:bidi w:val="0"/>
              <w:spacing w:before="0" w:after="283"/>
              <w:jc w:val="left"/>
              <w:rPr/>
            </w:pPr>
            <w:r>
              <w:rPr/>
              <w:t>Current State</w:t>
            </w:r>
          </w:p>
        </w:tc>
        <w:tc>
          <w:tcPr>
            <w:tcW w:w="9978" w:type="dxa"/>
            <w:tcBorders/>
            <w:vAlign w:val="center"/>
          </w:tcPr>
          <w:p>
            <w:pPr>
              <w:pStyle w:val="TableContents"/>
              <w:bidi w:val="0"/>
              <w:spacing w:before="0" w:after="283"/>
              <w:jc w:val="left"/>
              <w:rPr/>
            </w:pPr>
            <w:r>
              <w:rPr/>
              <w:t>Projects are tracked informally by whoever manages them, often in personal notes or spreadsheets, with no Group-wide visibility of project budgets, progress or profitability.</w:t>
            </w:r>
          </w:p>
        </w:tc>
      </w:tr>
      <w:tr>
        <w:trPr/>
        <w:tc>
          <w:tcPr>
            <w:tcW w:w="1361" w:type="dxa"/>
            <w:tcBorders/>
            <w:vAlign w:val="center"/>
          </w:tcPr>
          <w:p>
            <w:pPr>
              <w:pStyle w:val="TableHeading"/>
              <w:suppressLineNumbers/>
              <w:shd w:fill="1F3864" w:val="clear"/>
              <w:bidi w:val="0"/>
              <w:spacing w:before="0" w:after="283"/>
              <w:jc w:val="left"/>
              <w:rPr/>
            </w:pPr>
            <w:r>
              <w:rPr/>
              <w:t>Proposed State</w:t>
            </w:r>
          </w:p>
        </w:tc>
        <w:tc>
          <w:tcPr>
            <w:tcW w:w="9978" w:type="dxa"/>
            <w:tcBorders/>
            <w:vAlign w:val="center"/>
          </w:tcPr>
          <w:p>
            <w:pPr>
              <w:pStyle w:val="TableContents"/>
              <w:bidi w:val="0"/>
              <w:spacing w:before="120" w:after="120"/>
              <w:ind w:hanging="0" w:left="120" w:right="120"/>
              <w:jc w:val="left"/>
              <w:rPr>
                <w:rFonts w:ascii="Courier New;monospace" w:hAnsi="Courier New;monospace"/>
                <w:sz w:val="20"/>
                <w:bdr w:val="single" w:sz="2" w:space="8" w:color="C7D3E8"/>
                <w:shd w:fill="F2F5FA" w:val="clear"/>
              </w:rPr>
            </w:pPr>
            <w:r>
              <w:rPr>
                <w:rFonts w:ascii="Courier New;monospace" w:hAnsi="Courier New;monospace"/>
                <w:sz w:val="20"/>
                <w:bdr w:val="single" w:sz="2" w:space="8" w:color="C7D3E8"/>
                <w:shd w:fill="F2F5FA" w:val="clear"/>
              </w:rPr>
              <w:t>Project Registered → Manager &amp; Team Assigned → Budget Allocated → Tasks Assigned &amp; Tracked → Progress &amp; Expenses Recorded → Project Reviewed for Profitability → Project Closed</w:t>
            </w:r>
          </w:p>
        </w:tc>
      </w:tr>
      <w:tr>
        <w:trPr/>
        <w:tc>
          <w:tcPr>
            <w:tcW w:w="1361" w:type="dxa"/>
            <w:tcBorders/>
            <w:vAlign w:val="center"/>
          </w:tcPr>
          <w:p>
            <w:pPr>
              <w:pStyle w:val="TableHeading"/>
              <w:suppressLineNumbers/>
              <w:shd w:fill="1F3864" w:val="clear"/>
              <w:bidi w:val="0"/>
              <w:spacing w:before="0" w:after="283"/>
              <w:jc w:val="left"/>
              <w:rPr/>
            </w:pPr>
            <w:r>
              <w:rPr/>
              <w:t>Source</w:t>
            </w:r>
          </w:p>
        </w:tc>
        <w:tc>
          <w:tcPr>
            <w:tcW w:w="9978" w:type="dxa"/>
            <w:tcBorders/>
            <w:vAlign w:val="center"/>
          </w:tcPr>
          <w:p>
            <w:pPr>
              <w:pStyle w:val="TableContents"/>
              <w:bidi w:val="0"/>
              <w:spacing w:before="0" w:after="283"/>
              <w:jc w:val="left"/>
              <w:rPr/>
            </w:pPr>
            <w:r>
              <w:rPr/>
              <w:t>morise.docx §17 (Project Management)</w:t>
            </w:r>
          </w:p>
        </w:tc>
      </w:tr>
    </w:tbl>
    <w:p>
      <w:pPr>
        <w:pStyle w:val="BodyText"/>
        <w:bidi w:val="0"/>
        <w:spacing w:before="270" w:after="283"/>
        <w:ind w:hanging="0" w:left="0" w:right="0"/>
        <w:jc w:val="left"/>
        <w:rPr>
          <w:b/>
          <w:color w:val="FFFFFF"/>
          <w:sz w:val="24"/>
          <w:shd w:fill="1F3864" w:val="clear"/>
        </w:rPr>
      </w:pPr>
      <w:r>
        <w:rPr>
          <w:b/>
          <w:color w:val="FFFFFF"/>
          <w:sz w:val="24"/>
          <w:shd w:fill="1F3864" w:val="clear"/>
        </w:rPr>
        <w:t>Phase 3 Processes</w:t>
      </w:r>
    </w:p>
    <w:p>
      <w:pPr>
        <w:pStyle w:val="Heading3"/>
        <w:bidi w:val="0"/>
        <w:jc w:val="left"/>
        <w:rPr/>
      </w:pPr>
      <w:r>
        <w:rPr/>
        <w:t>7.1 Payroll</w:t>
      </w:r>
    </w:p>
    <w:tbl>
      <w:tblPr>
        <w:tblW w:w="11339" w:type="dxa"/>
        <w:jc w:val="left"/>
        <w:tblInd w:w="28" w:type="dxa"/>
        <w:tblLayout w:type="fixed"/>
        <w:tblCellMar>
          <w:top w:w="28" w:type="dxa"/>
          <w:left w:w="28" w:type="dxa"/>
          <w:bottom w:w="28" w:type="dxa"/>
          <w:right w:w="28" w:type="dxa"/>
        </w:tblCellMar>
      </w:tblPr>
      <w:tblGrid>
        <w:gridCol w:w="1305"/>
        <w:gridCol w:w="10034"/>
      </w:tblGrid>
      <w:tr>
        <w:trPr/>
        <w:tc>
          <w:tcPr>
            <w:tcW w:w="1305" w:type="dxa"/>
            <w:tcBorders/>
            <w:vAlign w:val="center"/>
          </w:tcPr>
          <w:p>
            <w:pPr>
              <w:pStyle w:val="TableHeading"/>
              <w:suppressLineNumbers/>
              <w:shd w:fill="1F3864" w:val="clear"/>
              <w:bidi w:val="0"/>
              <w:spacing w:before="0" w:after="283"/>
              <w:jc w:val="left"/>
              <w:rPr/>
            </w:pPr>
            <w:r>
              <w:rPr/>
              <w:t>Current State</w:t>
            </w:r>
          </w:p>
        </w:tc>
        <w:tc>
          <w:tcPr>
            <w:tcW w:w="10034" w:type="dxa"/>
            <w:tcBorders/>
            <w:vAlign w:val="center"/>
          </w:tcPr>
          <w:p>
            <w:pPr>
              <w:pStyle w:val="TableContents"/>
              <w:bidi w:val="0"/>
              <w:spacing w:before="0" w:after="283"/>
              <w:jc w:val="left"/>
              <w:rPr/>
            </w:pPr>
            <w:r>
              <w:rPr/>
              <w:t>Salaries are calculated manually per company, with allowances, deductions and statutory contributions computed separately and inconsistently.</w:t>
            </w:r>
          </w:p>
        </w:tc>
      </w:tr>
      <w:tr>
        <w:trPr/>
        <w:tc>
          <w:tcPr>
            <w:tcW w:w="1305" w:type="dxa"/>
            <w:tcBorders/>
            <w:vAlign w:val="center"/>
          </w:tcPr>
          <w:p>
            <w:pPr>
              <w:pStyle w:val="TableHeading"/>
              <w:suppressLineNumbers/>
              <w:shd w:fill="1F3864" w:val="clear"/>
              <w:bidi w:val="0"/>
              <w:spacing w:before="0" w:after="283"/>
              <w:jc w:val="left"/>
              <w:rPr/>
            </w:pPr>
            <w:r>
              <w:rPr/>
              <w:t>Proposed State</w:t>
            </w:r>
          </w:p>
        </w:tc>
        <w:tc>
          <w:tcPr>
            <w:tcW w:w="10034" w:type="dxa"/>
            <w:tcBorders/>
            <w:vAlign w:val="center"/>
          </w:tcPr>
          <w:p>
            <w:pPr>
              <w:pStyle w:val="TableContents"/>
              <w:bidi w:val="0"/>
              <w:spacing w:before="120" w:after="120"/>
              <w:ind w:hanging="0" w:left="120" w:right="120"/>
              <w:jc w:val="left"/>
              <w:rPr>
                <w:rFonts w:ascii="Courier New;monospace" w:hAnsi="Courier New;monospace"/>
                <w:sz w:val="20"/>
                <w:bdr w:val="single" w:sz="2" w:space="8" w:color="C7D3E8"/>
                <w:shd w:fill="F2F5FA" w:val="clear"/>
              </w:rPr>
            </w:pPr>
            <w:r>
              <w:rPr>
                <w:rFonts w:ascii="Courier New;monospace" w:hAnsi="Courier New;monospace"/>
                <w:sz w:val="20"/>
                <w:bdr w:val="single" w:sz="2" w:space="8" w:color="C7D3E8"/>
                <w:shd w:fill="F2F5FA" w:val="clear"/>
              </w:rPr>
              <w:t>Salary Structure Defined → Allowances/Overtime/Bonuses/Deductions Applied → Statutory Deductions Calculated → Payroll Reviewed → Payroll Approved → Payslips Generated → Bank Payment Schedule Created → Posted to Accounting</w:t>
            </w:r>
          </w:p>
        </w:tc>
      </w:tr>
      <w:tr>
        <w:trPr/>
        <w:tc>
          <w:tcPr>
            <w:tcW w:w="1305" w:type="dxa"/>
            <w:tcBorders/>
            <w:vAlign w:val="center"/>
          </w:tcPr>
          <w:p>
            <w:pPr>
              <w:pStyle w:val="TableHeading"/>
              <w:suppressLineNumbers/>
              <w:shd w:fill="1F3864" w:val="clear"/>
              <w:bidi w:val="0"/>
              <w:spacing w:before="0" w:after="283"/>
              <w:jc w:val="left"/>
              <w:rPr/>
            </w:pPr>
            <w:r>
              <w:rPr/>
              <w:t>Source</w:t>
            </w:r>
          </w:p>
        </w:tc>
        <w:tc>
          <w:tcPr>
            <w:tcW w:w="10034" w:type="dxa"/>
            <w:tcBorders/>
            <w:vAlign w:val="center"/>
          </w:tcPr>
          <w:p>
            <w:pPr>
              <w:pStyle w:val="TableContents"/>
              <w:bidi w:val="0"/>
              <w:spacing w:before="0" w:after="283"/>
              <w:jc w:val="left"/>
              <w:rPr/>
            </w:pPr>
            <w:r>
              <w:rPr/>
              <w:t>morise.docx §6 (Payroll Management)</w:t>
            </w:r>
          </w:p>
        </w:tc>
      </w:tr>
    </w:tbl>
    <w:p>
      <w:pPr>
        <w:pStyle w:val="Heading3"/>
        <w:bidi w:val="0"/>
        <w:jc w:val="left"/>
        <w:rPr/>
      </w:pPr>
      <w:r>
        <w:rPr/>
        <w:t>7.2 Budgeting</w:t>
      </w:r>
    </w:p>
    <w:tbl>
      <w:tblPr>
        <w:tblW w:w="11339" w:type="dxa"/>
        <w:jc w:val="left"/>
        <w:tblInd w:w="28" w:type="dxa"/>
        <w:tblLayout w:type="fixed"/>
        <w:tblCellMar>
          <w:top w:w="28" w:type="dxa"/>
          <w:left w:w="28" w:type="dxa"/>
          <w:bottom w:w="28" w:type="dxa"/>
          <w:right w:w="28" w:type="dxa"/>
        </w:tblCellMar>
      </w:tblPr>
      <w:tblGrid>
        <w:gridCol w:w="1413"/>
        <w:gridCol w:w="9926"/>
      </w:tblGrid>
      <w:tr>
        <w:trPr/>
        <w:tc>
          <w:tcPr>
            <w:tcW w:w="1413" w:type="dxa"/>
            <w:tcBorders/>
            <w:vAlign w:val="center"/>
          </w:tcPr>
          <w:p>
            <w:pPr>
              <w:pStyle w:val="TableHeading"/>
              <w:suppressLineNumbers/>
              <w:shd w:fill="1F3864" w:val="clear"/>
              <w:bidi w:val="0"/>
              <w:spacing w:before="0" w:after="283"/>
              <w:jc w:val="left"/>
              <w:rPr/>
            </w:pPr>
            <w:r>
              <w:rPr/>
              <w:t>Current State</w:t>
            </w:r>
          </w:p>
        </w:tc>
        <w:tc>
          <w:tcPr>
            <w:tcW w:w="9926" w:type="dxa"/>
            <w:tcBorders/>
            <w:vAlign w:val="center"/>
          </w:tcPr>
          <w:p>
            <w:pPr>
              <w:pStyle w:val="TableContents"/>
              <w:bidi w:val="0"/>
              <w:spacing w:before="0" w:after="283"/>
              <w:jc w:val="left"/>
              <w:rPr/>
            </w:pPr>
            <w:r>
              <w:rPr/>
              <w:t>Budgets, where they exist, are set informally per company with no standard comparison of budget versus actual spend at Group level.</w:t>
            </w:r>
          </w:p>
        </w:tc>
      </w:tr>
      <w:tr>
        <w:trPr/>
        <w:tc>
          <w:tcPr>
            <w:tcW w:w="1413" w:type="dxa"/>
            <w:tcBorders/>
            <w:vAlign w:val="center"/>
          </w:tcPr>
          <w:p>
            <w:pPr>
              <w:pStyle w:val="TableHeading"/>
              <w:suppressLineNumbers/>
              <w:shd w:fill="1F3864" w:val="clear"/>
              <w:bidi w:val="0"/>
              <w:spacing w:before="0" w:after="283"/>
              <w:jc w:val="left"/>
              <w:rPr/>
            </w:pPr>
            <w:r>
              <w:rPr/>
              <w:t>Proposed State</w:t>
            </w:r>
          </w:p>
        </w:tc>
        <w:tc>
          <w:tcPr>
            <w:tcW w:w="9926" w:type="dxa"/>
            <w:tcBorders/>
            <w:vAlign w:val="center"/>
          </w:tcPr>
          <w:p>
            <w:pPr>
              <w:pStyle w:val="TableContents"/>
              <w:bidi w:val="0"/>
              <w:spacing w:before="120" w:after="120"/>
              <w:ind w:hanging="0" w:left="120" w:right="120"/>
              <w:jc w:val="left"/>
              <w:rPr>
                <w:rFonts w:ascii="Courier New;monospace" w:hAnsi="Courier New;monospace"/>
                <w:sz w:val="20"/>
                <w:bdr w:val="single" w:sz="2" w:space="8" w:color="C7D3E8"/>
                <w:shd w:fill="F2F5FA" w:val="clear"/>
              </w:rPr>
            </w:pPr>
            <w:r>
              <w:rPr>
                <w:rFonts w:ascii="Courier New;monospace" w:hAnsi="Courier New;monospace"/>
                <w:sz w:val="20"/>
                <w:bdr w:val="single" w:sz="2" w:space="8" w:color="C7D3E8"/>
                <w:shd w:fill="F2F5FA" w:val="clear"/>
              </w:rPr>
              <w:t>Department/Company Budget Prepared → Submitted → Reviewed &amp; Approved → Monitored Against Actuals → Variance Analyzed → Revision Submitted if Required</w:t>
            </w:r>
          </w:p>
        </w:tc>
      </w:tr>
      <w:tr>
        <w:trPr/>
        <w:tc>
          <w:tcPr>
            <w:tcW w:w="1413" w:type="dxa"/>
            <w:tcBorders/>
            <w:vAlign w:val="center"/>
          </w:tcPr>
          <w:p>
            <w:pPr>
              <w:pStyle w:val="TableHeading"/>
              <w:suppressLineNumbers/>
              <w:shd w:fill="1F3864" w:val="clear"/>
              <w:bidi w:val="0"/>
              <w:spacing w:before="0" w:after="283"/>
              <w:jc w:val="left"/>
              <w:rPr/>
            </w:pPr>
            <w:r>
              <w:rPr/>
              <w:t>Source</w:t>
            </w:r>
          </w:p>
        </w:tc>
        <w:tc>
          <w:tcPr>
            <w:tcW w:w="9926" w:type="dxa"/>
            <w:tcBorders/>
            <w:vAlign w:val="center"/>
          </w:tcPr>
          <w:p>
            <w:pPr>
              <w:pStyle w:val="TableContents"/>
              <w:bidi w:val="0"/>
              <w:spacing w:before="0" w:after="283"/>
              <w:jc w:val="left"/>
              <w:rPr/>
            </w:pPr>
            <w:r>
              <w:rPr/>
              <w:t>morise.docx §9 (Budget Management)</w:t>
            </w:r>
          </w:p>
        </w:tc>
      </w:tr>
    </w:tbl>
    <w:p>
      <w:pPr>
        <w:pStyle w:val="Heading3"/>
        <w:bidi w:val="0"/>
        <w:jc w:val="left"/>
        <w:rPr/>
      </w:pPr>
      <w:r>
        <w:rPr/>
        <w:t>7.3 Banking and Cash Management</w:t>
      </w:r>
    </w:p>
    <w:tbl>
      <w:tblPr>
        <w:tblW w:w="11339" w:type="dxa"/>
        <w:jc w:val="left"/>
        <w:tblInd w:w="28" w:type="dxa"/>
        <w:tblLayout w:type="fixed"/>
        <w:tblCellMar>
          <w:top w:w="28" w:type="dxa"/>
          <w:left w:w="28" w:type="dxa"/>
          <w:bottom w:w="28" w:type="dxa"/>
          <w:right w:w="28" w:type="dxa"/>
        </w:tblCellMar>
      </w:tblPr>
      <w:tblGrid>
        <w:gridCol w:w="1362"/>
        <w:gridCol w:w="9977"/>
      </w:tblGrid>
      <w:tr>
        <w:trPr/>
        <w:tc>
          <w:tcPr>
            <w:tcW w:w="1362" w:type="dxa"/>
            <w:tcBorders/>
            <w:vAlign w:val="center"/>
          </w:tcPr>
          <w:p>
            <w:pPr>
              <w:pStyle w:val="TableHeading"/>
              <w:suppressLineNumbers/>
              <w:shd w:fill="1F3864" w:val="clear"/>
              <w:bidi w:val="0"/>
              <w:spacing w:before="0" w:after="283"/>
              <w:jc w:val="left"/>
              <w:rPr/>
            </w:pPr>
            <w:r>
              <w:rPr/>
              <w:t>Current State</w:t>
            </w:r>
          </w:p>
        </w:tc>
        <w:tc>
          <w:tcPr>
            <w:tcW w:w="9977" w:type="dxa"/>
            <w:tcBorders/>
            <w:vAlign w:val="center"/>
          </w:tcPr>
          <w:p>
            <w:pPr>
              <w:pStyle w:val="TableContents"/>
              <w:bidi w:val="0"/>
              <w:spacing w:before="0" w:after="283"/>
              <w:jc w:val="left"/>
              <w:rPr/>
            </w:pPr>
            <w:r>
              <w:rPr/>
              <w:t>Bank transactions are managed per the Group's existing banking resolution (Equity Bank, principal + alternate signatories) but reconciliation against internal records is manual and periodic.</w:t>
            </w:r>
          </w:p>
        </w:tc>
      </w:tr>
      <w:tr>
        <w:trPr/>
        <w:tc>
          <w:tcPr>
            <w:tcW w:w="1362" w:type="dxa"/>
            <w:tcBorders/>
            <w:vAlign w:val="center"/>
          </w:tcPr>
          <w:p>
            <w:pPr>
              <w:pStyle w:val="TableHeading"/>
              <w:suppressLineNumbers/>
              <w:shd w:fill="1F3864" w:val="clear"/>
              <w:bidi w:val="0"/>
              <w:spacing w:before="0" w:after="283"/>
              <w:jc w:val="left"/>
              <w:rPr/>
            </w:pPr>
            <w:r>
              <w:rPr/>
              <w:t>Proposed State</w:t>
            </w:r>
          </w:p>
        </w:tc>
        <w:tc>
          <w:tcPr>
            <w:tcW w:w="9977" w:type="dxa"/>
            <w:tcBorders/>
            <w:vAlign w:val="center"/>
          </w:tcPr>
          <w:p>
            <w:pPr>
              <w:pStyle w:val="TableContents"/>
              <w:bidi w:val="0"/>
              <w:spacing w:before="120" w:after="120"/>
              <w:ind w:hanging="0" w:left="120" w:right="120"/>
              <w:jc w:val="left"/>
              <w:rPr>
                <w:rFonts w:ascii="Courier New;monospace" w:hAnsi="Courier New;monospace"/>
                <w:sz w:val="20"/>
                <w:bdr w:val="single" w:sz="2" w:space="8" w:color="C7D3E8"/>
                <w:shd w:fill="F2F5FA" w:val="clear"/>
              </w:rPr>
            </w:pPr>
            <w:r>
              <w:rPr>
                <w:rFonts w:ascii="Courier New;monospace" w:hAnsi="Courier New;monospace"/>
                <w:sz w:val="20"/>
                <w:bdr w:val="single" w:sz="2" w:space="8" w:color="C7D3E8"/>
                <w:shd w:fill="F2F5FA" w:val="clear"/>
              </w:rPr>
              <w:t>Deposit/Withdrawal/Transfer Initiated → Dual-Signatory Authorization (per Board Resolution) → Transaction Recorded → Bank Reconciliation Performed → Cash Position Reported</w:t>
            </w:r>
          </w:p>
        </w:tc>
      </w:tr>
      <w:tr>
        <w:trPr/>
        <w:tc>
          <w:tcPr>
            <w:tcW w:w="1362" w:type="dxa"/>
            <w:tcBorders/>
            <w:vAlign w:val="center"/>
          </w:tcPr>
          <w:p>
            <w:pPr>
              <w:pStyle w:val="TableHeading"/>
              <w:suppressLineNumbers/>
              <w:shd w:fill="1F3864" w:val="clear"/>
              <w:bidi w:val="0"/>
              <w:spacing w:before="0" w:after="283"/>
              <w:jc w:val="left"/>
              <w:rPr/>
            </w:pPr>
            <w:r>
              <w:rPr/>
              <w:t>Source</w:t>
            </w:r>
          </w:p>
        </w:tc>
        <w:tc>
          <w:tcPr>
            <w:tcW w:w="9977" w:type="dxa"/>
            <w:tcBorders/>
            <w:vAlign w:val="center"/>
          </w:tcPr>
          <w:p>
            <w:pPr>
              <w:pStyle w:val="TableContents"/>
              <w:bidi w:val="0"/>
              <w:spacing w:before="0" w:after="283"/>
              <w:jc w:val="left"/>
              <w:rPr/>
            </w:pPr>
            <w:r>
              <w:rPr/>
              <w:t>morise.docx §8 (Cash and Bank Management); Board Resolution for Morise Holdings Limited (14 June 2019)</w:t>
            </w:r>
          </w:p>
        </w:tc>
      </w:tr>
    </w:tbl>
    <w:p>
      <w:pPr>
        <w:pStyle w:val="Heading3"/>
        <w:bidi w:val="0"/>
        <w:jc w:val="left"/>
        <w:rPr/>
      </w:pPr>
      <w:r>
        <w:rPr/>
        <w:t>7.4 Inter-Company Transactions</w:t>
      </w:r>
    </w:p>
    <w:tbl>
      <w:tblPr>
        <w:tblW w:w="11339" w:type="dxa"/>
        <w:jc w:val="left"/>
        <w:tblInd w:w="28" w:type="dxa"/>
        <w:tblLayout w:type="fixed"/>
        <w:tblCellMar>
          <w:top w:w="28" w:type="dxa"/>
          <w:left w:w="28" w:type="dxa"/>
          <w:bottom w:w="28" w:type="dxa"/>
          <w:right w:w="28" w:type="dxa"/>
        </w:tblCellMar>
      </w:tblPr>
      <w:tblGrid>
        <w:gridCol w:w="1319"/>
        <w:gridCol w:w="10020"/>
      </w:tblGrid>
      <w:tr>
        <w:trPr/>
        <w:tc>
          <w:tcPr>
            <w:tcW w:w="1319" w:type="dxa"/>
            <w:tcBorders/>
            <w:vAlign w:val="center"/>
          </w:tcPr>
          <w:p>
            <w:pPr>
              <w:pStyle w:val="TableHeading"/>
              <w:suppressLineNumbers/>
              <w:shd w:fill="1F3864" w:val="clear"/>
              <w:bidi w:val="0"/>
              <w:spacing w:before="0" w:after="283"/>
              <w:jc w:val="left"/>
              <w:rPr/>
            </w:pPr>
            <w:r>
              <w:rPr/>
              <w:t>Current State</w:t>
            </w:r>
          </w:p>
        </w:tc>
        <w:tc>
          <w:tcPr>
            <w:tcW w:w="10020" w:type="dxa"/>
            <w:tcBorders/>
            <w:vAlign w:val="center"/>
          </w:tcPr>
          <w:p>
            <w:pPr>
              <w:pStyle w:val="TableContents"/>
              <w:bidi w:val="0"/>
              <w:spacing w:before="0" w:after="283"/>
              <w:jc w:val="left"/>
              <w:rPr/>
            </w:pPr>
            <w:r>
              <w:rPr/>
              <w:t>Transactions between Group companies (e.g. shared services, inter-company loans) are not currently formalized or systematically recorded, creating consolidation and audit risk.</w:t>
            </w:r>
          </w:p>
        </w:tc>
      </w:tr>
      <w:tr>
        <w:trPr/>
        <w:tc>
          <w:tcPr>
            <w:tcW w:w="1319" w:type="dxa"/>
            <w:tcBorders/>
            <w:vAlign w:val="center"/>
          </w:tcPr>
          <w:p>
            <w:pPr>
              <w:pStyle w:val="TableHeading"/>
              <w:suppressLineNumbers/>
              <w:shd w:fill="1F3864" w:val="clear"/>
              <w:bidi w:val="0"/>
              <w:spacing w:before="0" w:after="283"/>
              <w:jc w:val="left"/>
              <w:rPr/>
            </w:pPr>
            <w:r>
              <w:rPr/>
              <w:t>Proposed State</w:t>
            </w:r>
          </w:p>
        </w:tc>
        <w:tc>
          <w:tcPr>
            <w:tcW w:w="10020" w:type="dxa"/>
            <w:tcBorders/>
            <w:vAlign w:val="center"/>
          </w:tcPr>
          <w:p>
            <w:pPr>
              <w:pStyle w:val="TableContents"/>
              <w:bidi w:val="0"/>
              <w:spacing w:before="120" w:after="120"/>
              <w:ind w:hanging="0" w:left="120" w:right="120"/>
              <w:jc w:val="left"/>
              <w:rPr>
                <w:rFonts w:ascii="Courier New;monospace" w:hAnsi="Courier New;monospace"/>
                <w:sz w:val="20"/>
                <w:bdr w:val="single" w:sz="2" w:space="8" w:color="C7D3E8"/>
                <w:shd w:fill="F2F5FA" w:val="clear"/>
              </w:rPr>
            </w:pPr>
            <w:r>
              <w:rPr>
                <w:rFonts w:ascii="Courier New;monospace" w:hAnsi="Courier New;monospace"/>
                <w:sz w:val="20"/>
                <w:bdr w:val="single" w:sz="2" w:space="8" w:color="C7D3E8"/>
                <w:shd w:fill="F2F5FA" w:val="clear"/>
              </w:rPr>
              <w:t>Transaction Initiated by One Company → Counterparty Company Confirms → Recorded in Both Companies' Ledgers → Included in Group Consolidation → Eliminated on Consolidated Statements → Reconciled Periodically</w:t>
            </w:r>
          </w:p>
        </w:tc>
      </w:tr>
      <w:tr>
        <w:trPr/>
        <w:tc>
          <w:tcPr>
            <w:tcW w:w="1319" w:type="dxa"/>
            <w:tcBorders/>
            <w:vAlign w:val="center"/>
          </w:tcPr>
          <w:p>
            <w:pPr>
              <w:pStyle w:val="TableHeading"/>
              <w:suppressLineNumbers/>
              <w:shd w:fill="1F3864" w:val="clear"/>
              <w:bidi w:val="0"/>
              <w:spacing w:before="0" w:after="283"/>
              <w:jc w:val="left"/>
              <w:rPr/>
            </w:pPr>
            <w:r>
              <w:rPr/>
              <w:t>Source</w:t>
            </w:r>
          </w:p>
        </w:tc>
        <w:tc>
          <w:tcPr>
            <w:tcW w:w="10020" w:type="dxa"/>
            <w:tcBorders/>
            <w:vAlign w:val="center"/>
          </w:tcPr>
          <w:p>
            <w:pPr>
              <w:pStyle w:val="TableContents"/>
              <w:bidi w:val="0"/>
              <w:spacing w:before="0" w:after="283"/>
              <w:jc w:val="left"/>
              <w:rPr/>
            </w:pPr>
            <w:r>
              <w:rPr/>
              <w:t>morise.docx §36 (Inter-Company Transactions), §37 (Consolidated Financial Management)</w:t>
            </w:r>
          </w:p>
        </w:tc>
      </w:tr>
    </w:tbl>
    <w:p>
      <w:pPr>
        <w:pStyle w:val="BodyText"/>
        <w:bidi w:val="0"/>
        <w:spacing w:before="270" w:after="283"/>
        <w:ind w:hanging="0" w:left="0" w:right="0"/>
        <w:jc w:val="left"/>
        <w:rPr>
          <w:b/>
          <w:color w:val="FFFFFF"/>
          <w:sz w:val="24"/>
          <w:shd w:fill="1F3864" w:val="clear"/>
        </w:rPr>
      </w:pPr>
      <w:r>
        <w:rPr>
          <w:b/>
          <w:color w:val="FFFFFF"/>
          <w:sz w:val="24"/>
          <w:shd w:fill="1F3864" w:val="clear"/>
        </w:rPr>
        <w:t>Phase 4 Processes</w:t>
      </w:r>
    </w:p>
    <w:p>
      <w:pPr>
        <w:pStyle w:val="Heading3"/>
        <w:bidi w:val="0"/>
        <w:jc w:val="left"/>
        <w:rPr/>
      </w:pPr>
      <w:r>
        <w:rPr/>
        <w:t>8.1 Employee Recruitment and Onboarding (Full)</w:t>
      </w:r>
    </w:p>
    <w:tbl>
      <w:tblPr>
        <w:tblW w:w="11339" w:type="dxa"/>
        <w:jc w:val="left"/>
        <w:tblInd w:w="28" w:type="dxa"/>
        <w:tblLayout w:type="fixed"/>
        <w:tblCellMar>
          <w:top w:w="28" w:type="dxa"/>
          <w:left w:w="28" w:type="dxa"/>
          <w:bottom w:w="28" w:type="dxa"/>
          <w:right w:w="28" w:type="dxa"/>
        </w:tblCellMar>
      </w:tblPr>
      <w:tblGrid>
        <w:gridCol w:w="1416"/>
        <w:gridCol w:w="9923"/>
      </w:tblGrid>
      <w:tr>
        <w:trPr/>
        <w:tc>
          <w:tcPr>
            <w:tcW w:w="1416" w:type="dxa"/>
            <w:tcBorders/>
            <w:vAlign w:val="center"/>
          </w:tcPr>
          <w:p>
            <w:pPr>
              <w:pStyle w:val="TableHeading"/>
              <w:suppressLineNumbers/>
              <w:shd w:fill="1F3864" w:val="clear"/>
              <w:bidi w:val="0"/>
              <w:spacing w:before="0" w:after="283"/>
              <w:jc w:val="left"/>
              <w:rPr/>
            </w:pPr>
            <w:r>
              <w:rPr/>
              <w:t>Current State</w:t>
            </w:r>
          </w:p>
        </w:tc>
        <w:tc>
          <w:tcPr>
            <w:tcW w:w="9923" w:type="dxa"/>
            <w:tcBorders/>
            <w:vAlign w:val="center"/>
          </w:tcPr>
          <w:p>
            <w:pPr>
              <w:pStyle w:val="TableContents"/>
              <w:bidi w:val="0"/>
              <w:spacing w:before="0" w:after="283"/>
              <w:jc w:val="left"/>
              <w:rPr/>
            </w:pPr>
            <w:r>
              <w:rPr/>
              <w:t>Vacancies are filled through informal networks; there is no structured applicant tracking or documented interview/approval process.</w:t>
            </w:r>
          </w:p>
        </w:tc>
      </w:tr>
      <w:tr>
        <w:trPr/>
        <w:tc>
          <w:tcPr>
            <w:tcW w:w="1416" w:type="dxa"/>
            <w:tcBorders/>
            <w:vAlign w:val="center"/>
          </w:tcPr>
          <w:p>
            <w:pPr>
              <w:pStyle w:val="TableHeading"/>
              <w:suppressLineNumbers/>
              <w:shd w:fill="1F3864" w:val="clear"/>
              <w:bidi w:val="0"/>
              <w:spacing w:before="0" w:after="283"/>
              <w:jc w:val="left"/>
              <w:rPr/>
            </w:pPr>
            <w:r>
              <w:rPr/>
              <w:t>Proposed State</w:t>
            </w:r>
          </w:p>
        </w:tc>
        <w:tc>
          <w:tcPr>
            <w:tcW w:w="9923" w:type="dxa"/>
            <w:tcBorders/>
            <w:vAlign w:val="center"/>
          </w:tcPr>
          <w:p>
            <w:pPr>
              <w:pStyle w:val="TableContents"/>
              <w:bidi w:val="0"/>
              <w:spacing w:before="120" w:after="120"/>
              <w:ind w:hanging="0" w:left="120" w:right="120"/>
              <w:jc w:val="left"/>
              <w:rPr>
                <w:rFonts w:ascii="Courier New;monospace" w:hAnsi="Courier New;monospace"/>
                <w:sz w:val="20"/>
                <w:bdr w:val="single" w:sz="2" w:space="8" w:color="C7D3E8"/>
                <w:shd w:fill="F2F5FA" w:val="clear"/>
              </w:rPr>
            </w:pPr>
            <w:r>
              <w:rPr>
                <w:rFonts w:ascii="Courier New;monospace" w:hAnsi="Courier New;monospace"/>
                <w:sz w:val="20"/>
                <w:bdr w:val="single" w:sz="2" w:space="8" w:color="C7D3E8"/>
                <w:shd w:fill="F2F5FA" w:val="clear"/>
              </w:rPr>
              <w:t>Vacancy Created → Advertised → Applications Received → Shortlisting → Interviews &amp; Scoring → Recruitment Approval → Employment Offer → Onboarding</w:t>
            </w:r>
          </w:p>
        </w:tc>
      </w:tr>
      <w:tr>
        <w:trPr/>
        <w:tc>
          <w:tcPr>
            <w:tcW w:w="1416" w:type="dxa"/>
            <w:tcBorders/>
            <w:vAlign w:val="center"/>
          </w:tcPr>
          <w:p>
            <w:pPr>
              <w:pStyle w:val="TableHeading"/>
              <w:suppressLineNumbers/>
              <w:shd w:fill="1F3864" w:val="clear"/>
              <w:bidi w:val="0"/>
              <w:spacing w:before="0" w:after="283"/>
              <w:jc w:val="left"/>
              <w:rPr/>
            </w:pPr>
            <w:r>
              <w:rPr/>
              <w:t>Source</w:t>
            </w:r>
          </w:p>
        </w:tc>
        <w:tc>
          <w:tcPr>
            <w:tcW w:w="9923" w:type="dxa"/>
            <w:tcBorders/>
            <w:vAlign w:val="center"/>
          </w:tcPr>
          <w:p>
            <w:pPr>
              <w:pStyle w:val="TableContents"/>
              <w:bidi w:val="0"/>
              <w:spacing w:before="0" w:after="283"/>
              <w:jc w:val="left"/>
              <w:rPr/>
            </w:pPr>
            <w:r>
              <w:rPr/>
              <w:t>morise.docx §5 (Recruitment), §48 (Employee Workflow)</w:t>
            </w:r>
          </w:p>
        </w:tc>
      </w:tr>
    </w:tbl>
    <w:p>
      <w:pPr>
        <w:pStyle w:val="Heading3"/>
        <w:bidi w:val="0"/>
        <w:jc w:val="left"/>
        <w:rPr/>
      </w:pPr>
      <w:r>
        <w:rPr/>
        <w:t>8.2 Leave and Attendance</w:t>
      </w:r>
    </w:p>
    <w:tbl>
      <w:tblPr>
        <w:tblW w:w="11339" w:type="dxa"/>
        <w:jc w:val="left"/>
        <w:tblInd w:w="28" w:type="dxa"/>
        <w:tblLayout w:type="fixed"/>
        <w:tblCellMar>
          <w:top w:w="28" w:type="dxa"/>
          <w:left w:w="28" w:type="dxa"/>
          <w:bottom w:w="28" w:type="dxa"/>
          <w:right w:w="28" w:type="dxa"/>
        </w:tblCellMar>
      </w:tblPr>
      <w:tblGrid>
        <w:gridCol w:w="1520"/>
        <w:gridCol w:w="9819"/>
      </w:tblGrid>
      <w:tr>
        <w:trPr/>
        <w:tc>
          <w:tcPr>
            <w:tcW w:w="1520" w:type="dxa"/>
            <w:tcBorders/>
            <w:vAlign w:val="center"/>
          </w:tcPr>
          <w:p>
            <w:pPr>
              <w:pStyle w:val="TableHeading"/>
              <w:suppressLineNumbers/>
              <w:shd w:fill="1F3864" w:val="clear"/>
              <w:bidi w:val="0"/>
              <w:spacing w:before="0" w:after="283"/>
              <w:jc w:val="left"/>
              <w:rPr/>
            </w:pPr>
            <w:r>
              <w:rPr/>
              <w:t>Current State</w:t>
            </w:r>
          </w:p>
        </w:tc>
        <w:tc>
          <w:tcPr>
            <w:tcW w:w="9819" w:type="dxa"/>
            <w:tcBorders/>
            <w:vAlign w:val="center"/>
          </w:tcPr>
          <w:p>
            <w:pPr>
              <w:pStyle w:val="TableContents"/>
              <w:bidi w:val="0"/>
              <w:spacing w:before="0" w:after="283"/>
              <w:jc w:val="left"/>
              <w:rPr/>
            </w:pPr>
            <w:r>
              <w:rPr/>
              <w:t>Leave is requested verbally or by informal note; attendance is not systematically tracked, making leave balances difficult to verify.</w:t>
            </w:r>
          </w:p>
        </w:tc>
      </w:tr>
      <w:tr>
        <w:trPr/>
        <w:tc>
          <w:tcPr>
            <w:tcW w:w="1520" w:type="dxa"/>
            <w:tcBorders/>
            <w:vAlign w:val="center"/>
          </w:tcPr>
          <w:p>
            <w:pPr>
              <w:pStyle w:val="TableHeading"/>
              <w:suppressLineNumbers/>
              <w:shd w:fill="1F3864" w:val="clear"/>
              <w:bidi w:val="0"/>
              <w:spacing w:before="0" w:after="283"/>
              <w:jc w:val="left"/>
              <w:rPr/>
            </w:pPr>
            <w:r>
              <w:rPr/>
              <w:t>Proposed State</w:t>
            </w:r>
          </w:p>
        </w:tc>
        <w:tc>
          <w:tcPr>
            <w:tcW w:w="9819" w:type="dxa"/>
            <w:tcBorders/>
            <w:vAlign w:val="center"/>
          </w:tcPr>
          <w:p>
            <w:pPr>
              <w:pStyle w:val="TableContents"/>
              <w:bidi w:val="0"/>
              <w:spacing w:before="120" w:after="120"/>
              <w:ind w:hanging="0" w:left="120" w:right="120"/>
              <w:jc w:val="left"/>
              <w:rPr>
                <w:rFonts w:ascii="Courier New;monospace" w:hAnsi="Courier New;monospace"/>
                <w:sz w:val="20"/>
                <w:bdr w:val="single" w:sz="2" w:space="8" w:color="C7D3E8"/>
                <w:shd w:fill="F2F5FA" w:val="clear"/>
              </w:rPr>
            </w:pPr>
            <w:r>
              <w:rPr>
                <w:rFonts w:ascii="Courier New;monospace" w:hAnsi="Courier New;monospace"/>
                <w:sz w:val="20"/>
                <w:bdr w:val="single" w:sz="2" w:space="8" w:color="C7D3E8"/>
                <w:shd w:fill="F2F5FA" w:val="clear"/>
              </w:rPr>
              <w:t>Employee Leave Application → Manager Approval → HR Confirmation → Leave Balance Updated → Leave Calendar Updated</w:t>
            </w:r>
          </w:p>
        </w:tc>
      </w:tr>
      <w:tr>
        <w:trPr/>
        <w:tc>
          <w:tcPr>
            <w:tcW w:w="1520" w:type="dxa"/>
            <w:tcBorders/>
            <w:vAlign w:val="center"/>
          </w:tcPr>
          <w:p>
            <w:pPr>
              <w:pStyle w:val="TableHeading"/>
              <w:suppressLineNumbers/>
              <w:shd w:fill="1F3864" w:val="clear"/>
              <w:bidi w:val="0"/>
              <w:spacing w:before="0" w:after="283"/>
              <w:jc w:val="left"/>
              <w:rPr/>
            </w:pPr>
            <w:r>
              <w:rPr/>
              <w:t>Source</w:t>
            </w:r>
          </w:p>
        </w:tc>
        <w:tc>
          <w:tcPr>
            <w:tcW w:w="9819" w:type="dxa"/>
            <w:tcBorders/>
            <w:vAlign w:val="center"/>
          </w:tcPr>
          <w:p>
            <w:pPr>
              <w:pStyle w:val="TableContents"/>
              <w:bidi w:val="0"/>
              <w:spacing w:before="0" w:after="283"/>
              <w:jc w:val="left"/>
              <w:rPr/>
            </w:pPr>
            <w:r>
              <w:rPr/>
              <w:t>morise.docx §5 (Attendance, Leave Management)</w:t>
            </w:r>
          </w:p>
        </w:tc>
      </w:tr>
    </w:tbl>
    <w:p>
      <w:pPr>
        <w:pStyle w:val="Heading3"/>
        <w:bidi w:val="0"/>
        <w:jc w:val="left"/>
        <w:rPr/>
      </w:pPr>
      <w:r>
        <w:rPr/>
        <w:t>8.3 Contract Management</w:t>
      </w:r>
    </w:p>
    <w:tbl>
      <w:tblPr>
        <w:tblW w:w="11339" w:type="dxa"/>
        <w:jc w:val="left"/>
        <w:tblInd w:w="28" w:type="dxa"/>
        <w:tblLayout w:type="fixed"/>
        <w:tblCellMar>
          <w:top w:w="28" w:type="dxa"/>
          <w:left w:w="28" w:type="dxa"/>
          <w:bottom w:w="28" w:type="dxa"/>
          <w:right w:w="28" w:type="dxa"/>
        </w:tblCellMar>
      </w:tblPr>
      <w:tblGrid>
        <w:gridCol w:w="1515"/>
        <w:gridCol w:w="9824"/>
      </w:tblGrid>
      <w:tr>
        <w:trPr/>
        <w:tc>
          <w:tcPr>
            <w:tcW w:w="1515" w:type="dxa"/>
            <w:tcBorders/>
            <w:vAlign w:val="center"/>
          </w:tcPr>
          <w:p>
            <w:pPr>
              <w:pStyle w:val="TableHeading"/>
              <w:suppressLineNumbers/>
              <w:shd w:fill="1F3864" w:val="clear"/>
              <w:bidi w:val="0"/>
              <w:spacing w:before="0" w:after="283"/>
              <w:jc w:val="left"/>
              <w:rPr/>
            </w:pPr>
            <w:r>
              <w:rPr/>
              <w:t>Current State</w:t>
            </w:r>
          </w:p>
        </w:tc>
        <w:tc>
          <w:tcPr>
            <w:tcW w:w="9824" w:type="dxa"/>
            <w:tcBorders/>
            <w:vAlign w:val="center"/>
          </w:tcPr>
          <w:p>
            <w:pPr>
              <w:pStyle w:val="TableContents"/>
              <w:bidi w:val="0"/>
              <w:spacing w:before="0" w:after="283"/>
              <w:jc w:val="left"/>
              <w:rPr/>
            </w:pPr>
            <w:r>
              <w:rPr/>
              <w:t>Contracts (customer, supplier, employee, lease) are filed on paper with no centralized expiry tracking, risking missed renewals or lapses.</w:t>
            </w:r>
          </w:p>
        </w:tc>
      </w:tr>
      <w:tr>
        <w:trPr/>
        <w:tc>
          <w:tcPr>
            <w:tcW w:w="1515" w:type="dxa"/>
            <w:tcBorders/>
            <w:vAlign w:val="center"/>
          </w:tcPr>
          <w:p>
            <w:pPr>
              <w:pStyle w:val="TableHeading"/>
              <w:suppressLineNumbers/>
              <w:shd w:fill="1F3864" w:val="clear"/>
              <w:bidi w:val="0"/>
              <w:spacing w:before="0" w:after="283"/>
              <w:jc w:val="left"/>
              <w:rPr/>
            </w:pPr>
            <w:r>
              <w:rPr/>
              <w:t>Proposed State</w:t>
            </w:r>
          </w:p>
        </w:tc>
        <w:tc>
          <w:tcPr>
            <w:tcW w:w="9824" w:type="dxa"/>
            <w:tcBorders/>
            <w:vAlign w:val="center"/>
          </w:tcPr>
          <w:p>
            <w:pPr>
              <w:pStyle w:val="TableContents"/>
              <w:bidi w:val="0"/>
              <w:spacing w:before="120" w:after="120"/>
              <w:ind w:hanging="0" w:left="120" w:right="120"/>
              <w:jc w:val="left"/>
              <w:rPr>
                <w:rFonts w:ascii="Courier New;monospace" w:hAnsi="Courier New;monospace"/>
                <w:sz w:val="20"/>
                <w:bdr w:val="single" w:sz="2" w:space="8" w:color="C7D3E8"/>
                <w:shd w:fill="F2F5FA" w:val="clear"/>
              </w:rPr>
            </w:pPr>
            <w:r>
              <w:rPr>
                <w:rFonts w:ascii="Courier New;monospace" w:hAnsi="Courier New;monospace"/>
                <w:sz w:val="20"/>
                <w:bdr w:val="single" w:sz="2" w:space="8" w:color="C7D3E8"/>
                <w:shd w:fill="F2F5FA" w:val="clear"/>
              </w:rPr>
              <w:t>Draft → Review → Approval → Signature → Active → Expiry Notification → Renewal (or Close)</w:t>
            </w:r>
          </w:p>
        </w:tc>
      </w:tr>
      <w:tr>
        <w:trPr/>
        <w:tc>
          <w:tcPr>
            <w:tcW w:w="1515" w:type="dxa"/>
            <w:tcBorders/>
            <w:vAlign w:val="center"/>
          </w:tcPr>
          <w:p>
            <w:pPr>
              <w:pStyle w:val="TableHeading"/>
              <w:suppressLineNumbers/>
              <w:shd w:fill="1F3864" w:val="clear"/>
              <w:bidi w:val="0"/>
              <w:spacing w:before="0" w:after="283"/>
              <w:jc w:val="left"/>
              <w:rPr/>
            </w:pPr>
            <w:r>
              <w:rPr/>
              <w:t>Source</w:t>
            </w:r>
          </w:p>
        </w:tc>
        <w:tc>
          <w:tcPr>
            <w:tcW w:w="9824" w:type="dxa"/>
            <w:tcBorders/>
            <w:vAlign w:val="center"/>
          </w:tcPr>
          <w:p>
            <w:pPr>
              <w:pStyle w:val="TableContents"/>
              <w:bidi w:val="0"/>
              <w:spacing w:before="0" w:after="283"/>
              <w:jc w:val="left"/>
              <w:rPr/>
            </w:pPr>
            <w:r>
              <w:rPr/>
              <w:t>morise.docx §18 (Contract Management), §48 (Contract Workflow)</w:t>
            </w:r>
          </w:p>
        </w:tc>
      </w:tr>
    </w:tbl>
    <w:p>
      <w:pPr>
        <w:pStyle w:val="Heading2"/>
        <w:bidi w:val="0"/>
        <w:jc w:val="left"/>
        <w:rPr/>
      </w:pPr>
      <w:r>
        <w:rPr/>
        <w:t>9. Cross-Cutting: Management Approval Framework</w:t>
      </w:r>
    </w:p>
    <w:p>
      <w:pPr>
        <w:pStyle w:val="BodyText"/>
        <w:bidi w:val="0"/>
        <w:jc w:val="left"/>
        <w:rPr/>
      </w:pPr>
      <w:r>
        <w:rPr/>
        <w:t>Every transactional process above (procurement, expenses, budgets, contracts, asset disposal, payroll) relies on the same underlying approval framework rather than a bespoke approval mechanism per module:</w:t>
      </w:r>
    </w:p>
    <w:p>
      <w:pPr>
        <w:pStyle w:val="BodyText"/>
        <w:numPr>
          <w:ilvl w:val="0"/>
          <w:numId w:val="2"/>
        </w:numPr>
        <w:tabs>
          <w:tab w:val="clear" w:pos="1134"/>
          <w:tab w:val="left" w:pos="709" w:leader="none"/>
        </w:tabs>
        <w:bidi w:val="0"/>
        <w:spacing w:before="0" w:after="0"/>
        <w:ind w:hanging="283" w:left="709"/>
        <w:jc w:val="left"/>
        <w:rPr/>
      </w:pPr>
      <w:r>
        <w:rPr/>
        <w:t xml:space="preserve">Approvals can be configured by amount, department, company, branch, transaction type and user role (morise.docx §21). </w:t>
      </w:r>
    </w:p>
    <w:p>
      <w:pPr>
        <w:pStyle w:val="BodyText"/>
        <w:numPr>
          <w:ilvl w:val="0"/>
          <w:numId w:val="2"/>
        </w:numPr>
        <w:tabs>
          <w:tab w:val="clear" w:pos="1134"/>
          <w:tab w:val="left" w:pos="709" w:leader="none"/>
        </w:tabs>
        <w:bidi w:val="0"/>
        <w:spacing w:before="0" w:after="0"/>
        <w:ind w:hanging="283" w:left="709"/>
        <w:jc w:val="left"/>
        <w:rPr/>
      </w:pPr>
      <w:r>
        <w:rPr/>
        <w:t xml:space="preserve">Approval types include: purchase, payment, leave, budget, expense, recruitment, salary, contract, asset disposal, stock adjustment, and journal approval. </w:t>
      </w:r>
    </w:p>
    <w:p>
      <w:pPr>
        <w:pStyle w:val="BodyText"/>
        <w:numPr>
          <w:ilvl w:val="0"/>
          <w:numId w:val="2"/>
        </w:numPr>
        <w:tabs>
          <w:tab w:val="clear" w:pos="1134"/>
          <w:tab w:val="left" w:pos="709" w:leader="none"/>
        </w:tabs>
        <w:bidi w:val="0"/>
        <w:ind w:hanging="283" w:left="709"/>
        <w:jc w:val="left"/>
        <w:rPr/>
      </w:pPr>
      <w:r>
        <w:rPr/>
        <w:t xml:space="preserve">Consistent with the Group's existing banking governance (principal + alternate signatory, per the 2019 Board Resolution), financially significant approvals should generally require more than one authorized approver, not a single individual. </w:t>
      </w:r>
    </w:p>
    <w:p>
      <w:pPr>
        <w:pStyle w:val="BodyText"/>
        <w:bidi w:val="0"/>
        <w:jc w:val="left"/>
        <w:rPr/>
      </w:pPr>
      <w:r>
        <w:rPr/>
        <w:t>This shared framework is why the SRS (Business Rule BR-05) already anticipates a general "at least one authorized approver in addition to the initiator" rule for Phase 1 financial configuration actions — the same principle this document confirms applies across every phase's transactional processes.</w:t>
      </w:r>
    </w:p>
    <w:p>
      <w:pPr>
        <w:pStyle w:val="Heading2"/>
        <w:bidi w:val="0"/>
        <w:jc w:val="left"/>
        <w:rPr/>
      </w:pPr>
      <w:r>
        <w:rPr/>
        <w:t>10. Roles Involved per Process</w:t>
      </w:r>
    </w:p>
    <w:tbl>
      <w:tblPr>
        <w:tblW w:w="11339" w:type="dxa"/>
        <w:jc w:val="left"/>
        <w:tblInd w:w="28" w:type="dxa"/>
        <w:tblLayout w:type="fixed"/>
        <w:tblCellMar>
          <w:top w:w="28" w:type="dxa"/>
          <w:left w:w="28" w:type="dxa"/>
          <w:bottom w:w="28" w:type="dxa"/>
          <w:right w:w="28" w:type="dxa"/>
        </w:tblCellMar>
      </w:tblPr>
      <w:tblGrid>
        <w:gridCol w:w="3216"/>
        <w:gridCol w:w="8123"/>
      </w:tblGrid>
      <w:tr>
        <w:trPr/>
        <w:tc>
          <w:tcPr>
            <w:tcW w:w="3216" w:type="dxa"/>
            <w:tcBorders/>
            <w:vAlign w:val="center"/>
          </w:tcPr>
          <w:p>
            <w:pPr>
              <w:pStyle w:val="TableHeading"/>
              <w:suppressLineNumbers/>
              <w:shd w:fill="1F3864" w:val="clear"/>
              <w:bidi w:val="0"/>
              <w:spacing w:before="0" w:after="283"/>
              <w:jc w:val="left"/>
              <w:rPr/>
            </w:pPr>
            <w:r>
              <w:rPr/>
              <w:t>Role</w:t>
            </w:r>
          </w:p>
        </w:tc>
        <w:tc>
          <w:tcPr>
            <w:tcW w:w="8123" w:type="dxa"/>
            <w:tcBorders/>
            <w:vAlign w:val="center"/>
          </w:tcPr>
          <w:p>
            <w:pPr>
              <w:pStyle w:val="TableHeading"/>
              <w:suppressLineNumbers/>
              <w:shd w:fill="1F3864" w:val="clear"/>
              <w:bidi w:val="0"/>
              <w:spacing w:before="0" w:after="283"/>
              <w:jc w:val="left"/>
              <w:rPr/>
            </w:pPr>
            <w:r>
              <w:rPr/>
              <w:t>Processes Owned or Actioned</w:t>
            </w:r>
          </w:p>
        </w:tc>
      </w:tr>
      <w:tr>
        <w:trPr/>
        <w:tc>
          <w:tcPr>
            <w:tcW w:w="3216" w:type="dxa"/>
            <w:tcBorders/>
            <w:vAlign w:val="center"/>
          </w:tcPr>
          <w:p>
            <w:pPr>
              <w:pStyle w:val="TableContents"/>
              <w:bidi w:val="0"/>
              <w:spacing w:before="0" w:after="283"/>
              <w:jc w:val="left"/>
              <w:rPr/>
            </w:pPr>
            <w:r>
              <w:rPr/>
              <w:t>Group CEO / Managing Director</w:t>
            </w:r>
          </w:p>
        </w:tc>
        <w:tc>
          <w:tcPr>
            <w:tcW w:w="8123" w:type="dxa"/>
            <w:tcBorders/>
            <w:vAlign w:val="center"/>
          </w:tcPr>
          <w:p>
            <w:pPr>
              <w:pStyle w:val="TableContents"/>
              <w:bidi w:val="0"/>
              <w:spacing w:before="0" w:after="283"/>
              <w:jc w:val="left"/>
              <w:rPr/>
            </w:pPr>
            <w:r>
              <w:rPr/>
              <w:t>Company onboarding; Group-wide approvals; inter-company transactions</w:t>
            </w:r>
          </w:p>
        </w:tc>
      </w:tr>
      <w:tr>
        <w:trPr/>
        <w:tc>
          <w:tcPr>
            <w:tcW w:w="3216" w:type="dxa"/>
            <w:tcBorders/>
            <w:vAlign w:val="center"/>
          </w:tcPr>
          <w:p>
            <w:pPr>
              <w:pStyle w:val="TableContents"/>
              <w:bidi w:val="0"/>
              <w:spacing w:before="0" w:after="283"/>
              <w:jc w:val="left"/>
              <w:rPr/>
            </w:pPr>
            <w:r>
              <w:rPr/>
              <w:t>CFO / Finance Manager</w:t>
            </w:r>
          </w:p>
        </w:tc>
        <w:tc>
          <w:tcPr>
            <w:tcW w:w="8123" w:type="dxa"/>
            <w:tcBorders/>
            <w:vAlign w:val="center"/>
          </w:tcPr>
          <w:p>
            <w:pPr>
              <w:pStyle w:val="TableContents"/>
              <w:bidi w:val="0"/>
              <w:spacing w:before="0" w:after="283"/>
              <w:jc w:val="left"/>
              <w:rPr/>
            </w:pPr>
            <w:r>
              <w:rPr/>
              <w:t>Basic accounting; budgeting; banking; inter-company transactions; payroll sign-off</w:t>
            </w:r>
          </w:p>
        </w:tc>
      </w:tr>
      <w:tr>
        <w:trPr/>
        <w:tc>
          <w:tcPr>
            <w:tcW w:w="3216" w:type="dxa"/>
            <w:tcBorders/>
            <w:vAlign w:val="center"/>
          </w:tcPr>
          <w:p>
            <w:pPr>
              <w:pStyle w:val="TableContents"/>
              <w:bidi w:val="0"/>
              <w:spacing w:before="0" w:after="283"/>
              <w:jc w:val="left"/>
              <w:rPr/>
            </w:pPr>
            <w:r>
              <w:rPr/>
              <w:t>Accountant</w:t>
            </w:r>
          </w:p>
        </w:tc>
        <w:tc>
          <w:tcPr>
            <w:tcW w:w="8123" w:type="dxa"/>
            <w:tcBorders/>
            <w:vAlign w:val="center"/>
          </w:tcPr>
          <w:p>
            <w:pPr>
              <w:pStyle w:val="TableContents"/>
              <w:bidi w:val="0"/>
              <w:spacing w:before="0" w:after="283"/>
              <w:jc w:val="left"/>
              <w:rPr/>
            </w:pPr>
            <w:r>
              <w:rPr/>
              <w:t>Journal entries; trial balance; expense posting</w:t>
            </w:r>
          </w:p>
        </w:tc>
      </w:tr>
      <w:tr>
        <w:trPr/>
        <w:tc>
          <w:tcPr>
            <w:tcW w:w="3216" w:type="dxa"/>
            <w:tcBorders/>
            <w:vAlign w:val="center"/>
          </w:tcPr>
          <w:p>
            <w:pPr>
              <w:pStyle w:val="TableContents"/>
              <w:bidi w:val="0"/>
              <w:spacing w:before="0" w:after="283"/>
              <w:jc w:val="left"/>
              <w:rPr/>
            </w:pPr>
            <w:r>
              <w:rPr/>
              <w:t>HR Manager</w:t>
            </w:r>
          </w:p>
        </w:tc>
        <w:tc>
          <w:tcPr>
            <w:tcW w:w="8123" w:type="dxa"/>
            <w:tcBorders/>
            <w:vAlign w:val="center"/>
          </w:tcPr>
          <w:p>
            <w:pPr>
              <w:pStyle w:val="TableContents"/>
              <w:bidi w:val="0"/>
              <w:spacing w:before="0" w:after="283"/>
              <w:jc w:val="left"/>
              <w:rPr/>
            </w:pPr>
            <w:r>
              <w:rPr/>
              <w:t>Employee records; recruitment; leave/attendance; payroll input</w:t>
            </w:r>
          </w:p>
        </w:tc>
      </w:tr>
      <w:tr>
        <w:trPr/>
        <w:tc>
          <w:tcPr>
            <w:tcW w:w="3216" w:type="dxa"/>
            <w:tcBorders/>
            <w:vAlign w:val="center"/>
          </w:tcPr>
          <w:p>
            <w:pPr>
              <w:pStyle w:val="TableContents"/>
              <w:bidi w:val="0"/>
              <w:spacing w:before="0" w:after="283"/>
              <w:jc w:val="left"/>
              <w:rPr/>
            </w:pPr>
            <w:r>
              <w:rPr/>
              <w:t>Procurement Officer</w:t>
            </w:r>
          </w:p>
        </w:tc>
        <w:tc>
          <w:tcPr>
            <w:tcW w:w="8123" w:type="dxa"/>
            <w:tcBorders/>
            <w:vAlign w:val="center"/>
          </w:tcPr>
          <w:p>
            <w:pPr>
              <w:pStyle w:val="TableContents"/>
              <w:bidi w:val="0"/>
              <w:spacing w:before="0" w:after="283"/>
              <w:jc w:val="left"/>
              <w:rPr/>
            </w:pPr>
            <w:r>
              <w:rPr/>
              <w:t>Purchase requisitions, RFQs, supplier selection, purchase orders</w:t>
            </w:r>
          </w:p>
        </w:tc>
      </w:tr>
      <w:tr>
        <w:trPr/>
        <w:tc>
          <w:tcPr>
            <w:tcW w:w="3216" w:type="dxa"/>
            <w:tcBorders/>
            <w:vAlign w:val="center"/>
          </w:tcPr>
          <w:p>
            <w:pPr>
              <w:pStyle w:val="TableContents"/>
              <w:bidi w:val="0"/>
              <w:spacing w:before="0" w:after="283"/>
              <w:jc w:val="left"/>
              <w:rPr/>
            </w:pPr>
            <w:r>
              <w:rPr/>
              <w:t>Warehouse Manager</w:t>
            </w:r>
          </w:p>
        </w:tc>
        <w:tc>
          <w:tcPr>
            <w:tcW w:w="8123" w:type="dxa"/>
            <w:tcBorders/>
            <w:vAlign w:val="center"/>
          </w:tcPr>
          <w:p>
            <w:pPr>
              <w:pStyle w:val="TableContents"/>
              <w:bidi w:val="0"/>
              <w:spacing w:before="0" w:after="283"/>
              <w:jc w:val="left"/>
              <w:rPr/>
            </w:pPr>
            <w:r>
              <w:rPr/>
              <w:t>Goods receipt, stock issues/transfers, stock counts</w:t>
            </w:r>
          </w:p>
        </w:tc>
      </w:tr>
      <w:tr>
        <w:trPr/>
        <w:tc>
          <w:tcPr>
            <w:tcW w:w="3216" w:type="dxa"/>
            <w:tcBorders/>
            <w:vAlign w:val="center"/>
          </w:tcPr>
          <w:p>
            <w:pPr>
              <w:pStyle w:val="TableContents"/>
              <w:bidi w:val="0"/>
              <w:spacing w:before="0" w:after="283"/>
              <w:jc w:val="left"/>
              <w:rPr/>
            </w:pPr>
            <w:r>
              <w:rPr/>
              <w:t>Sales Manager / Officer</w:t>
            </w:r>
          </w:p>
        </w:tc>
        <w:tc>
          <w:tcPr>
            <w:tcW w:w="8123" w:type="dxa"/>
            <w:tcBorders/>
            <w:vAlign w:val="center"/>
          </w:tcPr>
          <w:p>
            <w:pPr>
              <w:pStyle w:val="TableContents"/>
              <w:bidi w:val="0"/>
              <w:spacing w:before="0" w:after="283"/>
              <w:jc w:val="left"/>
              <w:rPr/>
            </w:pPr>
            <w:r>
              <w:rPr/>
              <w:t>Quotations, sales orders, invoicing, customer payments</w:t>
            </w:r>
          </w:p>
        </w:tc>
      </w:tr>
      <w:tr>
        <w:trPr/>
        <w:tc>
          <w:tcPr>
            <w:tcW w:w="3216" w:type="dxa"/>
            <w:tcBorders/>
            <w:vAlign w:val="center"/>
          </w:tcPr>
          <w:p>
            <w:pPr>
              <w:pStyle w:val="TableContents"/>
              <w:bidi w:val="0"/>
              <w:spacing w:before="0" w:after="283"/>
              <w:jc w:val="left"/>
              <w:rPr/>
            </w:pPr>
            <w:r>
              <w:rPr/>
              <w:t>Branch Manager</w:t>
            </w:r>
          </w:p>
        </w:tc>
        <w:tc>
          <w:tcPr>
            <w:tcW w:w="8123" w:type="dxa"/>
            <w:tcBorders/>
            <w:vAlign w:val="center"/>
          </w:tcPr>
          <w:p>
            <w:pPr>
              <w:pStyle w:val="TableContents"/>
              <w:bidi w:val="0"/>
              <w:spacing w:before="0" w:after="283"/>
              <w:jc w:val="left"/>
              <w:rPr/>
            </w:pPr>
            <w:r>
              <w:rPr/>
              <w:t>Branch-level approvals across all applicable processes</w:t>
            </w:r>
          </w:p>
        </w:tc>
      </w:tr>
      <w:tr>
        <w:trPr/>
        <w:tc>
          <w:tcPr>
            <w:tcW w:w="3216" w:type="dxa"/>
            <w:tcBorders/>
            <w:vAlign w:val="center"/>
          </w:tcPr>
          <w:p>
            <w:pPr>
              <w:pStyle w:val="TableContents"/>
              <w:bidi w:val="0"/>
              <w:spacing w:before="0" w:after="283"/>
              <w:jc w:val="left"/>
              <w:rPr/>
            </w:pPr>
            <w:r>
              <w:rPr/>
              <w:t>Operations Manager</w:t>
            </w:r>
          </w:p>
        </w:tc>
        <w:tc>
          <w:tcPr>
            <w:tcW w:w="8123" w:type="dxa"/>
            <w:tcBorders/>
            <w:vAlign w:val="center"/>
          </w:tcPr>
          <w:p>
            <w:pPr>
              <w:pStyle w:val="TableContents"/>
              <w:bidi w:val="0"/>
              <w:spacing w:before="0" w:after="283"/>
              <w:jc w:val="left"/>
              <w:rPr/>
            </w:pPr>
            <w:r>
              <w:rPr/>
              <w:t>Asset acquisition/disposal, project oversight</w:t>
            </w:r>
          </w:p>
        </w:tc>
      </w:tr>
      <w:tr>
        <w:trPr/>
        <w:tc>
          <w:tcPr>
            <w:tcW w:w="3216" w:type="dxa"/>
            <w:tcBorders/>
            <w:vAlign w:val="center"/>
          </w:tcPr>
          <w:p>
            <w:pPr>
              <w:pStyle w:val="TableContents"/>
              <w:bidi w:val="0"/>
              <w:spacing w:before="0" w:after="283"/>
              <w:jc w:val="left"/>
              <w:rPr/>
            </w:pPr>
            <w:r>
              <w:rPr/>
              <w:t>Project Manager</w:t>
            </w:r>
          </w:p>
        </w:tc>
        <w:tc>
          <w:tcPr>
            <w:tcW w:w="8123" w:type="dxa"/>
            <w:tcBorders/>
            <w:vAlign w:val="center"/>
          </w:tcPr>
          <w:p>
            <w:pPr>
              <w:pStyle w:val="TableContents"/>
              <w:bidi w:val="0"/>
              <w:spacing w:before="0" w:after="283"/>
              <w:jc w:val="left"/>
              <w:rPr/>
            </w:pPr>
            <w:r>
              <w:rPr/>
              <w:t>Project registration, task assignment, progress tracking</w:t>
            </w:r>
          </w:p>
        </w:tc>
      </w:tr>
      <w:tr>
        <w:trPr/>
        <w:tc>
          <w:tcPr>
            <w:tcW w:w="3216" w:type="dxa"/>
            <w:tcBorders/>
            <w:vAlign w:val="center"/>
          </w:tcPr>
          <w:p>
            <w:pPr>
              <w:pStyle w:val="TableContents"/>
              <w:bidi w:val="0"/>
              <w:spacing w:before="0" w:after="283"/>
              <w:jc w:val="left"/>
              <w:rPr/>
            </w:pPr>
            <w:r>
              <w:rPr/>
              <w:t>Legal Officer</w:t>
            </w:r>
          </w:p>
        </w:tc>
        <w:tc>
          <w:tcPr>
            <w:tcW w:w="8123" w:type="dxa"/>
            <w:tcBorders/>
            <w:vAlign w:val="center"/>
          </w:tcPr>
          <w:p>
            <w:pPr>
              <w:pStyle w:val="TableContents"/>
              <w:bidi w:val="0"/>
              <w:spacing w:before="0" w:after="283"/>
              <w:jc w:val="left"/>
              <w:rPr/>
            </w:pPr>
            <w:r>
              <w:rPr/>
              <w:t>Contract drafting, review, renewal tracking</w:t>
            </w:r>
          </w:p>
        </w:tc>
      </w:tr>
      <w:tr>
        <w:trPr/>
        <w:tc>
          <w:tcPr>
            <w:tcW w:w="3216" w:type="dxa"/>
            <w:tcBorders/>
            <w:vAlign w:val="center"/>
          </w:tcPr>
          <w:p>
            <w:pPr>
              <w:pStyle w:val="TableContents"/>
              <w:bidi w:val="0"/>
              <w:spacing w:before="0" w:after="283"/>
              <w:jc w:val="left"/>
              <w:rPr/>
            </w:pPr>
            <w:r>
              <w:rPr/>
              <w:t>IT Administrator</w:t>
            </w:r>
          </w:p>
        </w:tc>
        <w:tc>
          <w:tcPr>
            <w:tcW w:w="8123" w:type="dxa"/>
            <w:tcBorders/>
            <w:vAlign w:val="center"/>
          </w:tcPr>
          <w:p>
            <w:pPr>
              <w:pStyle w:val="TableContents"/>
              <w:bidi w:val="0"/>
              <w:spacing w:before="0" w:after="283"/>
              <w:jc w:val="left"/>
              <w:rPr/>
            </w:pPr>
            <w:r>
              <w:rPr/>
              <w:t>Company/branch/user onboarding; system access provisioning</w:t>
            </w:r>
          </w:p>
        </w:tc>
      </w:tr>
      <w:tr>
        <w:trPr/>
        <w:tc>
          <w:tcPr>
            <w:tcW w:w="3216" w:type="dxa"/>
            <w:tcBorders/>
            <w:vAlign w:val="center"/>
          </w:tcPr>
          <w:p>
            <w:pPr>
              <w:pStyle w:val="TableContents"/>
              <w:bidi w:val="0"/>
              <w:spacing w:before="0" w:after="283"/>
              <w:jc w:val="left"/>
              <w:rPr/>
            </w:pPr>
            <w:r>
              <w:rPr/>
              <w:t>Employee (general)</w:t>
            </w:r>
          </w:p>
        </w:tc>
        <w:tc>
          <w:tcPr>
            <w:tcW w:w="8123" w:type="dxa"/>
            <w:tcBorders/>
            <w:vAlign w:val="center"/>
          </w:tcPr>
          <w:p>
            <w:pPr>
              <w:pStyle w:val="TableContents"/>
              <w:bidi w:val="0"/>
              <w:spacing w:before="0" w:after="283"/>
              <w:jc w:val="left"/>
              <w:rPr/>
            </w:pPr>
            <w:r>
              <w:rPr/>
              <w:t>Expense claims, leave applications, own profile</w:t>
            </w:r>
          </w:p>
        </w:tc>
      </w:tr>
      <w:tr>
        <w:trPr/>
        <w:tc>
          <w:tcPr>
            <w:tcW w:w="3216" w:type="dxa"/>
            <w:tcBorders/>
            <w:vAlign w:val="center"/>
          </w:tcPr>
          <w:p>
            <w:pPr>
              <w:pStyle w:val="TableContents"/>
              <w:bidi w:val="0"/>
              <w:spacing w:before="0" w:after="283"/>
              <w:jc w:val="left"/>
              <w:rPr/>
            </w:pPr>
            <w:r>
              <w:rPr/>
              <w:t>External Auditor</w:t>
            </w:r>
          </w:p>
        </w:tc>
        <w:tc>
          <w:tcPr>
            <w:tcW w:w="8123" w:type="dxa"/>
            <w:tcBorders/>
            <w:vAlign w:val="center"/>
          </w:tcPr>
          <w:p>
            <w:pPr>
              <w:pStyle w:val="TableContents"/>
              <w:bidi w:val="0"/>
              <w:spacing w:before="0" w:after="283"/>
              <w:jc w:val="left"/>
              <w:rPr/>
            </w:pPr>
            <w:r>
              <w:rPr/>
              <w:t>Reviews audit trail across all processes; does not action transactions</w:t>
            </w:r>
          </w:p>
        </w:tc>
      </w:tr>
    </w:tbl>
    <w:p>
      <w:pPr>
        <w:pStyle w:val="Heading2"/>
        <w:bidi w:val="0"/>
        <w:jc w:val="left"/>
        <w:rPr/>
      </w:pPr>
      <w:r>
        <w:rPr/>
        <w:t>11. Gaps, Assumptions and Validation Needs</w:t>
      </w:r>
    </w:p>
    <w:tbl>
      <w:tblPr>
        <w:tblW w:w="11339" w:type="dxa"/>
        <w:jc w:val="left"/>
        <w:tblInd w:w="28" w:type="dxa"/>
        <w:tblLayout w:type="fixed"/>
        <w:tblCellMar>
          <w:top w:w="28" w:type="dxa"/>
          <w:left w:w="28" w:type="dxa"/>
          <w:bottom w:w="28" w:type="dxa"/>
          <w:right w:w="28" w:type="dxa"/>
        </w:tblCellMar>
      </w:tblPr>
      <w:tblGrid>
        <w:gridCol w:w="6153"/>
        <w:gridCol w:w="5186"/>
      </w:tblGrid>
      <w:tr>
        <w:trPr/>
        <w:tc>
          <w:tcPr>
            <w:tcW w:w="6153" w:type="dxa"/>
            <w:tcBorders/>
            <w:vAlign w:val="center"/>
          </w:tcPr>
          <w:p>
            <w:pPr>
              <w:pStyle w:val="TableHeading"/>
              <w:suppressLineNumbers/>
              <w:shd w:fill="1F3864" w:val="clear"/>
              <w:bidi w:val="0"/>
              <w:spacing w:before="0" w:after="283"/>
              <w:jc w:val="left"/>
              <w:rPr/>
            </w:pPr>
            <w:r>
              <w:rPr/>
              <w:t>Item</w:t>
            </w:r>
          </w:p>
        </w:tc>
        <w:tc>
          <w:tcPr>
            <w:tcW w:w="5186" w:type="dxa"/>
            <w:tcBorders/>
            <w:vAlign w:val="center"/>
          </w:tcPr>
          <w:p>
            <w:pPr>
              <w:pStyle w:val="TableHeading"/>
              <w:suppressLineNumbers/>
              <w:shd w:fill="1F3864" w:val="clear"/>
              <w:bidi w:val="0"/>
              <w:spacing w:before="0" w:after="283"/>
              <w:jc w:val="left"/>
              <w:rPr/>
            </w:pPr>
            <w:r>
              <w:rPr/>
              <w:t>Why It Matters</w:t>
            </w:r>
          </w:p>
        </w:tc>
      </w:tr>
      <w:tr>
        <w:trPr/>
        <w:tc>
          <w:tcPr>
            <w:tcW w:w="6153" w:type="dxa"/>
            <w:tcBorders/>
            <w:vAlign w:val="center"/>
          </w:tcPr>
          <w:p>
            <w:pPr>
              <w:pStyle w:val="TableContents"/>
              <w:bidi w:val="0"/>
              <w:spacing w:before="0" w:after="283"/>
              <w:jc w:val="left"/>
              <w:rPr/>
            </w:pPr>
            <w:r>
              <w:rPr/>
              <w:t>Current State descriptions are assumed, not confirmed by interview</w:t>
            </w:r>
          </w:p>
        </w:tc>
        <w:tc>
          <w:tcPr>
            <w:tcW w:w="5186" w:type="dxa"/>
            <w:tcBorders/>
            <w:vAlign w:val="center"/>
          </w:tcPr>
          <w:p>
            <w:pPr>
              <w:pStyle w:val="TableContents"/>
              <w:bidi w:val="0"/>
              <w:spacing w:before="0" w:after="283"/>
              <w:jc w:val="left"/>
              <w:rPr/>
            </w:pPr>
            <w:r>
              <w:rPr/>
              <w:t>Per Section 2, each process owner should validate their process before final System Design sign-off</w:t>
            </w:r>
          </w:p>
        </w:tc>
      </w:tr>
      <w:tr>
        <w:trPr/>
        <w:tc>
          <w:tcPr>
            <w:tcW w:w="6153" w:type="dxa"/>
            <w:tcBorders/>
            <w:vAlign w:val="center"/>
          </w:tcPr>
          <w:p>
            <w:pPr>
              <w:pStyle w:val="TableContents"/>
              <w:bidi w:val="0"/>
              <w:spacing w:before="0" w:after="283"/>
              <w:jc w:val="left"/>
              <w:rPr/>
            </w:pPr>
            <w:r>
              <w:rPr/>
              <w:t>Reconciled procurement workflow (Section 6.2) combines three slightly different source descriptions</w:t>
            </w:r>
          </w:p>
        </w:tc>
        <w:tc>
          <w:tcPr>
            <w:tcW w:w="5186" w:type="dxa"/>
            <w:tcBorders/>
            <w:vAlign w:val="center"/>
          </w:tcPr>
          <w:p>
            <w:pPr>
              <w:pStyle w:val="TableContents"/>
              <w:bidi w:val="0"/>
              <w:spacing w:before="0" w:after="283"/>
              <w:jc w:val="left"/>
              <w:rPr/>
            </w:pPr>
            <w:r>
              <w:rPr/>
              <w:t>The Group should confirm the reconciled version is what it actually wants built, or specify which steps to drop</w:t>
            </w:r>
          </w:p>
        </w:tc>
      </w:tr>
      <w:tr>
        <w:trPr/>
        <w:tc>
          <w:tcPr>
            <w:tcW w:w="6153" w:type="dxa"/>
            <w:tcBorders/>
            <w:vAlign w:val="center"/>
          </w:tcPr>
          <w:p>
            <w:pPr>
              <w:pStyle w:val="TableContents"/>
              <w:bidi w:val="0"/>
              <w:spacing w:before="0" w:after="283"/>
              <w:jc w:val="left"/>
              <w:rPr/>
            </w:pPr>
            <w:r>
              <w:rPr/>
              <w:t>No current approval thresholds (e.g. monetary limits requiring higher-level approval) are documented anywhere in the Group's source material</w:t>
            </w:r>
          </w:p>
        </w:tc>
        <w:tc>
          <w:tcPr>
            <w:tcW w:w="5186" w:type="dxa"/>
            <w:tcBorders/>
            <w:vAlign w:val="center"/>
          </w:tcPr>
          <w:p>
            <w:pPr>
              <w:pStyle w:val="TableContents"/>
              <w:bidi w:val="0"/>
              <w:spacing w:before="0" w:after="283"/>
              <w:jc w:val="left"/>
              <w:rPr/>
            </w:pPr>
            <w:r>
              <w:rPr/>
              <w:t>These must be defined by the Board/Finance before the Approval Workflow module (Section 9) can be configured</w:t>
            </w:r>
          </w:p>
        </w:tc>
      </w:tr>
      <w:tr>
        <w:trPr/>
        <w:tc>
          <w:tcPr>
            <w:tcW w:w="6153" w:type="dxa"/>
            <w:tcBorders/>
            <w:vAlign w:val="center"/>
          </w:tcPr>
          <w:p>
            <w:pPr>
              <w:pStyle w:val="TableContents"/>
              <w:bidi w:val="0"/>
              <w:spacing w:before="0" w:after="283"/>
              <w:jc w:val="left"/>
              <w:rPr/>
            </w:pPr>
            <w:r>
              <w:rPr/>
              <w:t>Phase 1 processes (Section 5) do not yet include any transactional workflow — they establish the structure the Phase 2+ workflows above will run on</w:t>
            </w:r>
          </w:p>
        </w:tc>
        <w:tc>
          <w:tcPr>
            <w:tcW w:w="5186" w:type="dxa"/>
            <w:tcBorders/>
            <w:vAlign w:val="center"/>
          </w:tcPr>
          <w:p>
            <w:pPr>
              <w:pStyle w:val="TableContents"/>
              <w:bidi w:val="0"/>
              <w:spacing w:before="0" w:after="283"/>
              <w:jc w:val="left"/>
              <w:rPr/>
            </w:pPr>
            <w:r>
              <w:rPr/>
              <w:t>Sets correct expectations: Phase 1 delivers records and structure, not the process automation described in Sections 6–8</w:t>
            </w:r>
          </w:p>
        </w:tc>
      </w:tr>
    </w:tbl>
    <w:p>
      <w:pPr>
        <w:pStyle w:val="Heading2"/>
        <w:bidi w:val="0"/>
        <w:jc w:val="left"/>
        <w:rPr/>
      </w:pPr>
      <w:r>
        <w:rPr/>
        <w:t>12. Approval</w:t>
      </w:r>
    </w:p>
    <w:p>
      <w:pPr>
        <w:pStyle w:val="BodyText"/>
        <w:bidi w:val="0"/>
        <w:jc w:val="left"/>
        <w:rPr/>
      </w:pPr>
      <w:r>
        <w:rPr/>
        <w:t>Submitted for review by process owners (Section 10) and for Board/Managing Director sign-off as the baseline for System Design and Database Design.</w:t>
      </w:r>
    </w:p>
    <w:p>
      <w:pPr>
        <w:pStyle w:val="BodyText"/>
        <w:bidi w:val="0"/>
        <w:spacing w:before="150" w:after="283"/>
        <w:ind w:hanging="0" w:left="0" w:right="0"/>
        <w:jc w:val="left"/>
        <w:rPr>
          <w:b/>
        </w:rPr>
      </w:pPr>
      <w:r>
        <w:rPr>
          <w:b/>
        </w:rPr>
        <w:t>Obeke Godfrey</w:t>
      </w:r>
    </w:p>
    <w:p>
      <w:pPr>
        <w:pStyle w:val="BodyText"/>
        <w:bidi w:val="0"/>
        <w:spacing w:before="600" w:after="283"/>
        <w:ind w:hanging="0" w:left="0" w:right="0"/>
        <w:jc w:val="left"/>
        <w:rPr>
          <w:sz w:val="21"/>
          <w:bdr w:val="single" w:sz="2" w:space="3" w:color="333333"/>
        </w:rPr>
      </w:pPr>
      <w:r>
        <w:rPr>
          <w:sz w:val="21"/>
          <w:bdr w:val="single" w:sz="2" w:space="3" w:color="333333"/>
        </w:rPr>
        <w:t>Director — Prepared by — Signature &amp; Date</w:t>
      </w:r>
    </w:p>
    <w:p>
      <w:pPr>
        <w:pStyle w:val="BodyText"/>
        <w:bidi w:val="0"/>
        <w:spacing w:before="150" w:after="283"/>
        <w:ind w:hanging="0" w:left="0" w:right="0"/>
        <w:jc w:val="left"/>
        <w:rPr>
          <w:b/>
        </w:rPr>
      </w:pPr>
      <w:r>
        <w:rPr>
          <w:b/>
        </w:rPr>
        <w:t>Okurut Mathias</w:t>
      </w:r>
    </w:p>
    <w:p>
      <w:pPr>
        <w:pStyle w:val="BodyText"/>
        <w:bidi w:val="0"/>
        <w:spacing w:before="600" w:after="283"/>
        <w:ind w:hanging="0" w:left="0" w:right="0"/>
        <w:jc w:val="left"/>
        <w:rPr>
          <w:sz w:val="21"/>
          <w:bdr w:val="single" w:sz="2" w:space="3" w:color="333333"/>
        </w:rPr>
      </w:pPr>
      <w:r>
        <w:rPr>
          <w:sz w:val="21"/>
          <w:bdr w:val="single" w:sz="2" w:space="3" w:color="333333"/>
        </w:rPr>
        <w:t>Managing Director — Reviewed/Approved by — Signature &amp; Date</w:t>
      </w:r>
    </w:p>
    <w:p>
      <w:pPr>
        <w:pStyle w:val="BodyText"/>
        <w:bidi w:val="0"/>
        <w:spacing w:before="450" w:after="283"/>
        <w:ind w:hanging="0" w:left="0" w:right="0"/>
        <w:jc w:val="left"/>
        <w:rPr>
          <w:color w:val="666666"/>
          <w:sz w:val="18"/>
          <w:bdr w:val="single" w:sz="2" w:space="5" w:color="CCCCCC"/>
        </w:rPr>
      </w:pPr>
      <w:r>
        <w:rPr>
          <w:color w:val="666666"/>
          <w:sz w:val="18"/>
          <w:bdr w:val="single" w:sz="2" w:space="5" w:color="CCCCCC"/>
        </w:rPr>
        <w:t xml:space="preserve">Prepared with reference to: Board Resolution for Morise Holdings Limited (14 June 2019); Morise Holdings Limited Business Management System scope document (morise.docx — Sections 2, 4–11, 13–15, 17–18, 21–22, 36–37, 48 in particular); Multi Holdings Limited Software Development Procedures and Implementation Blueprint (Phase 3 Business Process Analysis, Phase 11 Business Workflows); 01_Project Proposal; 02_Project Charter; 03_Feasibility Study; 04_Software Requirements Specification. Current State descriptions are a planning baseline pending validation by process owners, per Section 2. </w:t>
      </w:r>
    </w:p>
    <w:p>
      <w:pPr>
        <w:pStyle w:val="Heading1"/>
      </w:pPr>
      <w:r>
        <w:t>Implementation Status Update (18 August 2026)</w:t>
      </w:r>
    </w:p>
    <w:p>
      <w:r>
        <w:t>Section 5.1's proposed Company, Branch and User Onboarding workflow — Company/Subsidiary Registered → Branches &amp; Departments Added → Ownership/Parent Relationship Defined → Currency &amp; Financial Year Configured → Users Created &amp; Assigned → Roles &amp; Permissions Assigned → Company Active — is implemented and runnable end-to-end through the Companies and Users &amp; Roles screens.</w:t>
      </w:r>
    </w:p>
    <w:p>
      <w:r>
        <w:t>Section 5.2 (Basic Accounting) and Section 5.3 (Employee Records Registration), the other two Phase 1 processes, are not yet built. All Phase 2–4 processes (Sections 6–8) remain entirely undeveloped, as expected at this stage.</w:t>
      </w:r>
    </w:p>
    <w:p>
      <w:r>
        <w:t>Architecture gap — please read before relying on this update: the Group's own document set (07_System Design Document v2.0, ADR-02/03/04/05) records that Phase 1 was directed to be built as a full microservices architecture — eight independently deployable services plus an API Gateway, Kafka event streaming, a database-per-service pattern, and a full observability stack — superseding an earlier modular-monolith recommendation (03_Feasibility Study, Section 3.1.1). What is described below is that earlier, superseded monolith approach: a single NestJS application against one PostgreSQL database, with no API Gateway, no Kafka, no per-service databases, and no observability stack. It is offered as a fast proof-of-concept that validates the Sprint 1+2 business logic and data model end-to-end, not as a conforming implementation of the currently-approved architecture. Decomposing it into true microservices remains substantial, unstarted work. Code lives in mbms/, alongside this documentation set (docx/) and the Administrator/Customer mockups (screenshots/). See mbms/README.md for exact run instructions and seeded demo credentials.</w:t>
      </w:r>
    </w:p>
    <w:p>
      <w:pPr>
        <w:pStyle w:val="Heading1"/>
      </w:pPr>
      <w:r>
        <w:t>Implementation Status Update 2 (18 August 2026)</w:t>
      </w:r>
    </w:p>
    <w:p>
      <w:r>
        <w:t>Section 5.2's proposed Basic Accounting workflow (Chart of Accounts Defined → Opening Balances Recorded → Journal Entry Created → Entry Validated (Debits = Credits) → Entry Posted → Trial Balance Generated → Period Closed) is now implemented and runnable end-to-end exactly in that order, including the debit=credit validation and period-closure enforcement. Section 5.3's Employee Records Registration workflow is implemented for its core steps (identification, job title, department/branch/company, bank/tax) but not its document-upload step.</w:t>
      </w:r>
    </w:p>
    <w:p>
      <w:r>
        <w:t>Architecture note, unchanged from the previous update: this remains the superseded v1.0 modular-monolith approach — one NestJS application, one PostgreSQL database, no API Gateway, no Kafka, no per-service databases, no observability stack — not the microservices architecture 07_System Design Document (v2.0) records as the Group's actual direction. Employees and Accounting were added as two more modules of that same application, not as new independent services. See mbms/README.md for exact run instructions and seeded demo credentials.</w:t>
      </w:r>
    </w:p>
    <w:p>
      <w:pPr>
        <w:pStyle w:val="Heading1"/>
      </w:pPr>
      <w:r>
        <w:t>Implementation Status Update 3 (18 August 2026)</w:t>
      </w:r>
    </w:p>
    <w:p>
      <w:r>
        <w:t>This document's Section 5 doesn't have dedicated Customer/Supplier Records processes of its own — Phase 1's process inventory (Section 3) lists only Company/Branch/User Onboarding, Basic Accounting and Employee Records Registration as Phase 1 processes, with Customer/Supplier-related processes (Sales and Customer Payments, Section 6.1; Procurement and Supplier Payments, Section 6.2) correctly assigned to Phase 2, since they involve transactions, not just master-data registration. What was actually built here — registering a customer/supplier record with contact, category and (for suppliers) tax/bank information — is a precursor step implicit in, but not identical to, either Phase 2 workflow; no process description in this document needs correction.</w:t>
      </w:r>
    </w:p>
    <w:p>
      <w:r>
        <w:t>Architecture note, unchanged from the previous two updates: Customers and Suppliers were added as two more modules of the same single NestJS application — still not the microservices architecture 07_System Design Document (v2.0) records as the Group's actual direction. See mbms/README.md for exact run instructions and seeded demo credentials.</w:t>
      </w:r>
    </w:p>
    <w:p>
      <w:pPr>
        <w:pStyle w:val="Heading1"/>
      </w:pPr>
      <w:r>
        <w:t>Implementation Status Update 4 (18 August 2026)</w:t>
      </w:r>
    </w:p>
    <w:p>
      <w:r>
        <w:t>This document has no dedicated Product Records process in its Section 3 Phase 1 inventory, consistent with Section 11's own observation that Phase 1 processes establish structure rather than run transactional workflows — product registration is exactly that kind of structural, non-transactional step, and needed no new process description here. See mbms/README.md for exact run instructions and seeded demo credentials.</w:t>
      </w:r>
    </w:p>
    <w:p>
      <w:pPr>
        <w:pStyle w:val="Heading1"/>
      </w:pPr>
      <w:r>
        <w:t>Implementation Status Update 5 (18 August 2026)</w:t>
      </w:r>
    </w:p>
    <w:p>
      <w:r>
        <w:t>No dedicated Audit Trail process exists in this document's Section 3 Phase 1 inventory — the audit trail is a cross-cutting capability that records what happens in every other process (Company/Branch/User Onboarding, Basic Accounting, Employee Records Registration), not a process of its own with a Current/Proposed State pair. No process description needed correction for this update.</w:t>
      </w:r>
    </w:p>
    <w:p>
      <w:r>
        <w:t>Architecture note, unchanged since the first update: the Audit Trail was built as a shared, in-process AuditService every module calls directly and synchronously — not the Kafka-consuming Audit &amp; Reporting Service 07_System Design Document (v2.0) specifies. Functionally equivalent (the same event data lands in the same table shape), but a synchronous in-process call standing in for what should be an async publish/consume pair across independently deployable services. See mbms/README.md for exact run instructions and seeded demo credentials.</w:t>
      </w:r>
    </w:p>
    <w:p>
      <w:pPr>
        <w:pStyle w:val="Heading1"/>
      </w:pPr>
      <w:r>
        <w:t>Implementation Status Update 6 (18 August 2026)</w:t>
      </w:r>
    </w:p>
    <w:p>
      <w:r>
        <w:t>No process description in this document needed correction — the three fixes are field- and validation-level corrections to the User Onboarding process's underlying data model, not changes to the process flow described in Section 3. See mbms/README.md, "Sprint 1 verification pass", for the full detail and verification method.</w:t>
      </w:r>
    </w:p>
    <w:p>
      <w:pPr>
        <w:pStyle w:val="Heading1"/>
      </w:pPr>
      <w:r>
        <w:t>Implementation Status Update 7 (18 August 2026)</w:t>
      </w:r>
    </w:p>
    <w:p>
      <w:r>
        <w:t>No process description in this document needed correction — the fixes are field- and permission-level corrections underneath the existing Company/Branch/Department Onboarding process description, not changes to the process flow itself. See mbms/README.md, "Sprint 2 verification pass", for the full detail and verification method.</w:t>
      </w:r>
    </w:p>
    <w:p>
      <w:pPr>
        <w:pStyle w:val="Heading1"/>
      </w:pPr>
      <w:r>
        <w:t>Implementation Status Update 8 (18 August 2026)</w:t>
      </w:r>
    </w:p>
    <w:p>
      <w:r>
        <w:t>No process description in this document needed correction — the fixes are field- and form-level corrections underneath the existing Employee Onboarding process description, not changes to the process flow itself. See mbms/README.md, "Sprint 3 verification pass", for the full detail and verification method.</w:t>
      </w:r>
    </w:p>
    <w:p>
      <w:pPr>
        <w:pStyle w:val="Heading1"/>
      </w:pPr>
      <w:r>
        <w:t>Implementation Status Update 9 (18 August 2026)</w:t>
      </w:r>
    </w:p>
    <w:p>
      <w:r>
        <w:t>No process description in this document needed correction — the fixes are field-, audit- and form-level corrections underneath the existing Customer/Supplier Onboarding process descriptions, not changes to the process flow itself. See mbms/README.md, "Sprint 4 verification pass", for the full detail and verification method.</w:t>
      </w:r>
    </w:p>
    <w:p>
      <w:pPr>
        <w:pStyle w:val="Heading1"/>
      </w:pPr>
      <w:r>
        <w:t>Implementation Status Update 10 (18 August 2026)</w:t>
      </w:r>
    </w:p>
    <w:p>
      <w:r>
        <w:t>No process description in this document needed correction — the fixes are field-, audit- and form-level corrections underneath the existing Product Registration process description, not changes to the process flow itself. See mbms/README.md, "Sprint 5 verification pass", for the full detail and verification method.</w:t>
      </w:r>
    </w:p>
    <w:p>
      <w:pPr>
        <w:pStyle w:val="Heading1"/>
      </w:pPr>
      <w:r>
        <w:t>Implementation Status Update 11 (18 August 2026)</w:t>
      </w:r>
    </w:p>
    <w:p>
      <w:r>
        <w:t>Scope note: the request that opened this sprint named "Procurement, purchase orders and goods received" — none of which appear anywhere in 04_Software Requirements Specification's Phase 1 scope (FR-SUPP-02's own deferred note explicitly pushes purchase requisitions/orders to Phase 2), and none of which match what 17_Development Plan actually calls Sprint 6 ("Accounting completion, Dashboard, Audit Trail"). Asked how to handle the mismatch, the choice was to re-verify the actual Sprint 6 instead, the same method as Sprints 1-5, rather than starting new, unscoped Phase 2 work. No Procurement/PO/GRN code was added. No process description in this document needed correction — the fixes are report- and dashboard-level corrections underneath existing process descriptions, not changes to any process flow. See mbms/README.md, "Sprint 6 verification pass", for the full detail and verification method.</w:t>
      </w:r>
    </w:p>
    <w:p>
      <w:pPr>
        <w:pStyle w:val="Heading1"/>
      </w:pPr>
      <w:r>
        <w:t>Implementation Status Update 12 (18 August 2026)</w:t>
      </w:r>
    </w:p>
    <w:p>
      <w:r>
        <w:t>Scope note: the request that opened this sprint named "Sales, invoices and receipts" — explicitly Phase 2 in 04_Software Requirements Specification's own phasing text, and with no existing code to verify, unlike Sprint 6 which had real code under a mismatched label. The actual Sprint 7 per 17_Development Plan is "Contract, system and security testing." Asked how to handle the mismatch, the choice was to run that instead. No Sales/Invoice/Receipt code was added. No process description in this document needed correction — this update is a testing pass, not a feature or process change. See mbms/README.md, "Sprint 7: security testing pass", for the full detail and verification method.</w:t>
      </w:r>
    </w:p>
    <w:p>
      <w:pPr>
        <w:pStyle w:val="Heading1"/>
      </w:pPr>
      <w:r>
        <w:t>Implementation Status Update 13 (18 August 2026)</w:t>
      </w:r>
    </w:p>
    <w:p>
      <w:r>
        <w:t>Scope note: the request that opened this sprint named "Inventory" — explicitly Phase 2 in 04_Software Requirements Specification's own phasing text, with no existing code to verify. The actual Sprint 8 per 17_Development Plan is "Performance testing, Alpha testing, UAT begins." Asked how to handle the mismatch, the choice was to run that instead. No Inventory code was added. No process description in this document needed correction — this is a code-level security fix underneath existing processes, not a process change. See mbms/README.md, "Sprint 8: performance, Alpha and UAT pass", for the full detail and verification method.</w:t>
      </w:r>
    </w:p>
    <w:p>
      <w:pPr>
        <w:pStyle w:val="Heading1"/>
      </w:pPr>
      <w:r>
        <w:t>Implementation Status Update 14 (18 August 2026)</w:t>
      </w:r>
    </w:p>
    <w:p>
      <w:r>
        <w:t>Scope note: unlike Sprints 6–8, this sprint's request matched real, still-open work — Phase 1 (17_Development Plan, Sprints 0–8) was already complete by the previous update, and Expense Management is the Phase 2 module this document's own Section 6.4 (“Expense Claims”) already described in the most detail of any Phase 2 process here.</w:t>
      </w:r>
    </w:p>
    <w:p>
      <w:r>
        <w:t>The built workflow follows Section 6.4's own text closely: Expense Incurred → [receipt reference recorded, not uploaded] → Manager Approval → Finance Approval → Payment/Reimbursement → Posted to Accounting, implemented as submit → approve (manager) → approve (finance) → pay (which combines this section's last two steps into one action, since no separate disbursement system exists in this slice). Verified end-to-end: a claim submitted by one demo user was manager-approved by a second, finance-approved and paid by a third, producing a balanced journal entry and a complete expense.claim.* audit trail.</w:t>
      </w:r>
    </w:p>
    <w:p>
      <w:r>
        <w:t>See mbms/README.md, “Sprint 9”, for the full detail and verification method.</w:t>
      </w:r>
    </w:p>
    <w:p>
      <w:pPr>
        <w:pStyle w:val="Heading1"/>
      </w:pPr>
      <w:r>
        <w:t>Implementation Status Update 15 (18 August 2026)</w:t>
      </w:r>
    </w:p>
    <w:p>
      <w:r>
        <w:t>Scope note: this sprint's request matched Multi_Holdings_Limited_Software_Development_Procedures.docx's own Sprint 10 (“Accounting”) — the table every sprint request since Sprint 1 has actually matched, confirmed only this sprint. See mbms/README.md, “Sprint 10.”</w:t>
      </w:r>
    </w:p>
    <w:p>
      <w:r>
        <w:t>Recurring/adjusting journal entries (FR-ACC-07), Income Statement and Balance Sheet reports, and a consolidated group-rollup across subsidiaries were built — deepening the journal-entry and reporting processes this document's Section 7 (Accounting and Finance) already describes, not introducing a new business process. Verified end-to-end: a recurring rent template generated and posted a correctly-balanced entry; Income Statement and Balance Sheet both matched a parallel trial-balance check; the consolidated report correctly summed Morise Agro Ltd and Morise Logistics Ltd while excluding the pure holding company with a stated reason.</w:t>
      </w:r>
    </w:p>
    <w:p>
      <w:r>
        <w:t>See mbms/README.md, “Sprint 10”, for the full detail and verification method.</w:t>
      </w:r>
    </w:p>
    <w:p>
      <w:pPr>
        <w:pStyle w:val="Heading1"/>
      </w:pPr>
      <w:r>
        <w:t>Implementation Status Update 16 (18 August 2026)</w:t>
      </w:r>
    </w:p>
    <w:p>
      <w:r>
        <w:t>Scope note: matches Multi_Holdings_Limited_Software_Development_Procedures.docx's own Sprint 11 (“Assets”) directly.</w:t>
      </w:r>
    </w:p>
    <w:p>
      <w:r>
        <w:t>Built against this document's own Section 6.5 (Asset Acquisition and Disposal) workflow text almost verbatim: Asset Registered → Category/Location/Custodian Assigned → Depreciation Schedule Set → Asset Active, and for disposal, Disposal Request → Management Approval (folded together with Asset Inspection into one step) → Disposal Executed → Asset Record Closed. Verified end-to-end: a laptop was requested for disposal, management-approved with inspection notes, and disposed, producing a correctly-balanced four-line derecognition journal entry.</w:t>
      </w:r>
    </w:p>
    <w:p>
      <w:r>
        <w:t>See mbms/README.md, “Sprint 11”, for the full detail and verification method.</w:t>
      </w:r>
    </w:p>
    <w:p>
      <w:pPr>
        <w:pStyle w:val="Heading1"/>
      </w:pPr>
      <w:r>
        <w:t>Implementation Status Update 17 (18 August 2026)</w:t>
      </w:r>
    </w:p>
    <w:p>
      <w:r>
        <w:t>Scope note: matches Multi_Holdings_Limited_Software_Development_Procedures.docx's own Sprint 12 (“Projects”) directly.</w:t>
      </w:r>
    </w:p>
    <w:p>
      <w:r>
        <w:t>Built against this document's own Section 6.6 (Project Management) workflow text almost verbatim: Project Registered → Manager &amp; Team Assigned → Budget Allocated → Tasks Assigned &amp; Tracked → Progress &amp; Expenses Recorded (via the existing Expense Service, now project-attributable) → Project Reviewed for Profitability → Project Closed. Verified end-to-end: a project was walked through its full status lifecycle and its profitability figures matched a hand-calculation from seeded budget/expense/revenue data exactly.</w:t>
      </w:r>
    </w:p>
    <w:p>
      <w:r>
        <w:t>See mbms/README.md, “Sprint 12”, for the full detail and verification method.</w:t>
      </w:r>
    </w:p>
    <w:p>
      <w:pPr>
        <w:pStyle w:val="Heading1"/>
      </w:pPr>
      <w:r>
        <w:t>Implementation Status Update 18 (18 August 2026)</w:t>
      </w:r>
    </w:p>
    <w:p>
      <w:r>
        <w:t>Scope note: matches Multi_Holdings_Limited_Software_Development_Procedures.docx's own Sprint 13 (“Reports”) directly.</w:t>
      </w:r>
    </w:p>
    <w:p>
      <w:r>
        <w:t>This sprint added an export/reporting layer over data this document's own processes already produce (company/branch structure, employee records, customer/supplier records, the chart of accounts and trial balance, and the audit trail) — no new business process was introduced, only a new way to extract an existing one's records.</w:t>
      </w:r>
    </w:p>
    <w:p>
      <w:r>
        <w:t>See mbms/README.md, “Sprint 13”, for the full detail and verification method.</w:t>
      </w:r>
    </w:p>
    <w:p>
      <w:pPr>
        <w:pStyle w:val="Heading1"/>
      </w:pPr>
      <w:r>
        <w:t>Implementation Status Update 19 (18 August 2026)</w:t>
      </w:r>
    </w:p>
    <w:p>
      <w:r>
        <w:t>Scope note: matches Multi_Holdings_Limited_Software_Development_Procedures.docx's own Sprint 14 directly.</w:t>
      </w:r>
    </w:p>
    <w:p>
      <w:r>
        <w:t>Notifications are triggered synchronously by the same processes this document already describes (expense approval, Section 6.4; asset disposal, Section 6.5) rather than a new business process — an in-app feed only, not the email/push channels a full notification system would eventually need.</w:t>
      </w:r>
    </w:p>
    <w:p>
      <w:r>
        <w:t>See mbms/README.md, “Sprint 14”, for the full detail and verification method.</w:t>
      </w:r>
    </w:p>
    <w:p>
      <w:pPr>
        <w:pStyle w:val="Heading1"/>
      </w:pPr>
      <w:r>
        <w:t>Implementation Status Update 20 (19 August 2026)</w:t>
      </w:r>
    </w:p>
    <w:p>
      <w:r>
        <w:t>Scope note: requested directly against morise.docx, Section 2's full feature list.</w:t>
      </w:r>
    </w:p>
    <w:p>
      <w:r>
        <w:t>A new business process: an inter-company transaction is created in draft, then posted — posting generates two independently-balanced journal entries, one in each company's ledger, connected through caller-chosen “due from”/“due to” clearing accounts, the same double-entry discipline this document's Section 7 (Accounting) already describes for a single company's own entries, applied across two.</w:t>
      </w:r>
    </w:p>
    <w:p>
      <w:r>
        <w:t>See mbms/README.md, “Company and Holdings Management,” for the full detail and verification method.</w:t>
      </w:r>
    </w:p>
    <w:p>
      <w:pPr>
        <w:pStyle w:val="Heading1"/>
      </w:pPr>
      <w:r>
        <w:t>Implementation Status Update 21 (19 August 2026) — Dashboard Deepening</w:t>
      </w:r>
    </w:p>
    <w:p>
      <w:r>
        <w:t>Scope note: this update was requested directly against a full Holding Company / Subsidiary Dashboard KPI list (companies, branches, employees, customers, suppliers, assets, revenue, expenses, net profit, cash position, bank balances, outstanding receivables/payables, current projects, pending approvals, outstanding loans, inventory value, sales performance, procurement performance, employee statistics, company performance comparison, four monthly charts, and financial/operational alerts), not a numbered sprint from Multi_Holdings_Limited_Software_Development_Procedures.docx's Section 12 table (already complete except Sprints 6-8) or the request from earlier the same day (Company and Holdings Management Deepening, Update 20).</w:t>
      </w:r>
    </w:p>
    <w:p>
      <w:r>
        <w:t>Built: a deepened Holding Company Dashboard (group-wide financial position, four monthly charts, financial/operational alerts, employee statistics, company performance comparison, outstanding inter-company loans) and a deepened Subsidiary Dashboard (the same financial/chart blocks, scoped and permission-gated per company). Inventory value, sales performance and procurement performance are honestly reported as not available — no such module exists in this codebase.</w:t>
      </w:r>
    </w:p>
    <w:p>
      <w:r>
        <w:t>See mbms/README.md, "Dashboard Deepening — Holding Company &amp; Subsidiary KPI Set", for the full detail and verification method.</w:t>
      </w:r>
    </w:p>
    <w:p>
      <w:pPr>
        <w:pStyle w:val="Heading1"/>
      </w:pPr>
      <w:r>
        <w:t>Implementation Status Update 22 (19 August 2026) — RBAC Completion</w:t>
      </w:r>
    </w:p>
    <w:p>
      <w:r>
        <w:t>Scope note: this update was requested directly against a full RBAC feature list — a User Management capability bullet list (create/edit/activate-deactivate/reset password/change password/lock accounts/manage profiles/assign companies-branches-departments/assign roles/assign permissions/restrict access to modules, companies, branches, financial information and sensitive documents) and the 23-role catalogue (Super Administrator through Read-only User) — not a numbered sprint or either of the two dashboard/company-holdings passes from earlier the same day.</w:t>
      </w:r>
    </w:p>
    <w:p>
      <w:r>
        <w:t>Built: all 23 catalogue roles are now permissioned (14 of them — Chief Financial Officer, Accountant, Operations Manager, Project Manager, Inventory Manager, Warehouse Manager, Legal Officer, Customer Service Officer, Employee, External Auditor, Board Member, Investor, Read-only User — existed as role rows since Sprint 1 but had never been given a single permission), plus a new self-service POST /identity/users/me/change-password endpoint (distinct from the existing admin-initiated reset and the unauthenticated forgot-password flow). No new permission or schema migration was needed for the role work; the new endpoint reuses the existing IsStrongPassword validator and audit pattern.</w:t>
      </w:r>
    </w:p>
    <w:p>
      <w:r>
        <w:t>See mbms/README.md, "RBAC Completion — Full Role Catalogue Permissioned, Self-Service Password Change Added", for the full detail and verification method.</w:t>
      </w:r>
    </w:p>
    <w:p>
      <w:pPr>
        <w:pStyle w:val="Heading1"/>
      </w:pPr>
      <w:r>
        <w:t>Implementation Status Update 23 (19 August 2026) — HR Module Deepening</w:t>
      </w:r>
    </w:p>
    <w:p>
      <w:r>
        <w:t>Scope note: this update was requested directly against a full HR feature list — Employee Management, Recruitment, Attendance, Leave Management and Performance Management — opening with "The HR module should manage employees across all companies," not a numbered sprint or either pass earlier the same day.</w:t>
      </w:r>
    </w:p>
    <w:p>
      <w:r>
        <w:t>Built: Employee Management was re-verified (one gap closed — a real employment-history table, plus a document-reference field). Four entirely new modules were built: Recruitment (vacancy approval workflow through application/interview/offer, ending in onboarding into a real employee record), Attendance (self-service clock-in/out against an assigned shift, or HR-recorded for employees without a login), Leave (five leave types, balance-checked approval), and Performance (review cycles, objectives/KPIs, self- and manager-assessment). Migration: hr_module_recruitment_attendance_leave_performance (eleven new tables, two new employees columns). Ten new permissions; no existing permission was changed.</w:t>
      </w:r>
    </w:p>
    <w:p>
      <w:r>
        <w:t>Two real gaps were found and fixed during this pass: a self-service scope-gating bug in Performance (an ordinary employee reading or submitting their own review could be incorrectly blocked, since the original code path required company-wide scope even for pure self-access), and a demo-reachability gap where the HR Manager persona's single-company scope meant no seeded user could reach three of the four new modules' management actions for one subsidiary at all.</w:t>
      </w:r>
    </w:p>
    <w:p>
      <w:r>
        <w:t>See mbms/README.md, "HR Module Deepening — Recruitment, Attendance, Leave, Performance", for the full detail and verification method.</w:t>
      </w:r>
    </w:p>
    <w:p>
      <w:pPr>
        <w:pStyle w:val="Heading1"/>
      </w:pPr>
      <w:r>
        <w:t>Implementation Status Update 24 (19 August 2026) — Customer Storefront, Responsiveness Pass and Landing Page</w:t>
      </w:r>
    </w:p>
    <w:p>
      <w:r>
        <w:t>Scope note: this entry bundles three related requests handled back-to-back in one continuous session, the same class of single-entry bundling this document set already uses when one pass covers several closely related asks — build the actual customer-facing storefront screenshots/Customer/'s ten mockups had always implied but never had running code behind (explicitly confirmed as new scope, not something already there to start); make that storefront responsive once it shipped without a mobile pass; and develop a public landing page with a first-visit disclaimer for a visitor who hasn't signed in yet.</w:t>
      </w:r>
    </w:p>
    <w:p>
      <w:r>
        <w:t>Built: a real Sales/Invoicing/Payments module (Order, OrderItem, Invoice, Payment, PaymentAllocation — an order posts a real balanced journal entry at creation and is rejected if it would exceed the customer's credit limit; cancellation reverses the entry rather than deleting anything) and a new Support Ticketing module (SupportTicket, TicketMessage), both behind a second, structurally separate authentication stack (a customer signs in with an account number or email, never a staff User record). A second web application, mbms/storefront/, implements all ten Customer mockup screens plus two with no source mockup (a Landing page and a first-visit disclaimer modal) against this real backend, not a mockup. Minimal staff-side screens (Orders fulfillment, Support Ticket reply) were added to the existing Admin app so a customer's order or ticket does not dead-end. The storefront was then made responsive (a fluid header/nav and scrollable tables with no fixed-width overflow from 320px to 1440px) and given the public landing page and disclaimer at "/", replacing the previous hard redirect-to-login for a signed-out visitor. Migration: sprint16_customer_storefront. Four new permissions (sales.order.manage/viewAll, support.ticket.manage/viewAll); no existing permission was changed. A new order-to-cash process now exists end-to-end: Customer Places Order -&gt; Order Confirmed/Packed/Dispatched/Delivered (staff-advanced) -&gt; Invoice Generated (automatic, at order creation) -&gt; Customer Pays Online -&gt; Payment Posted to Ledger, plus a parallel Support Ticket Raised -&gt; Staff Replies -&gt; Ticket Resolved process.</w:t>
      </w:r>
    </w:p>
    <w:p>
      <w:r>
        <w:t>Three real defects were found and fixed across these passes, not before them: a seed-script idempotency bug that doubled a demo customer's outstanding balance on a second seed run (order/invoice numbers were derived from a live row count rather than a fixed literal, unlike every other seed in this project); a frontend permission-gate mismatch where the new Support Tickets admin screen's hasRole() check didn't include a role the backend had actually granted the permission to, hiding a working reply form; and a CSS specificity leak where a rule added to fix one header's responsive wrap silently reordered an unrelated header on the new Landing page, caught only by inspecting a screenshot, not by any automated check.</w:t>
      </w:r>
    </w:p>
    <w:p>
      <w:r>
        <w:t>See mbms/README.md, "Sprint 16: Customer Storefront", "Storefront responsiveness pass" and "Landing page and disclaimer added", for the full detail and verification method.</w:t>
      </w:r>
    </w:p>
    <w:p>
      <w:pPr>
        <w:pStyle w:val="Heading1"/>
      </w:pPr>
      <w:r>
        <w:t>Implementation Status Update 25 (19 August 2026) — Financial Module Deepening</w:t>
      </w:r>
    </w:p>
    <w:p>
      <w:r>
        <w:t>Scope note: this update was requested directly against a full Financial Module feature list — General Ledger gaps, Accounts Receivable, Accounts Payable, and five new Financial Statements — opening with "The financial module should be one of the core components of the system." Not a numbered sprint or any of the three passes earlier the same day.</w:t>
      </w:r>
    </w:p>
    <w:p>
      <w:r>
        <w:t>Built: closing entries (a real journal entry zeroing revenue/expense into Retained Earnings on period close), adjusting-entry tagging, account reconciliation, and budgets on the General Ledger side; a new Accounts Payable subledger (supplier invoices with a draft-approve-pay workflow, payments, credit notes, aging, statements); Accounts Receivable deepened with credit/debit notes and staff-facing aging/statements on top of the existing Order/Invoice/Payment system (see the correction note below); and four new report endpoints — Cash Flow Statement, Statement of Changes in Equity, Financial Ratios, Budget vs Actual, and a Management Accounts bundle.</w:t>
      </w:r>
    </w:p>
    <w:p>
      <w:r>
        <w:t>A real duplication was found and corrected before any service code shipped: this pass's first draft of Accounts Receivable defined its own customer invoice/payment tables, and a routine database check found a complete Order-to-Invoice-to-Payment system already built by a different, concurrently-running session (the "Customer Storefront" work also reflected in this docx set's own Update 24 entries). The duplicate tables were deleted before any code referenced them; Accounts Receivable was built against the real existing models instead. This is the second time this project has had two sessions modifying the same live database concurrently the same day — the migration tracking table needed re-baselining three times as a result, a recovered environment issue, not data loss.</w:t>
      </w:r>
    </w:p>
    <w:p>
      <w:r>
        <w:t>See mbms/README.md, "Financial Module Deepening", for the full detail and verification method.</w:t>
      </w:r>
    </w:p>
    <w:p>
      <w:pPr>
        <w:pStyle w:val="Heading1"/>
      </w:pPr>
      <w:r>
        <w:t>Implementation Status Update 26 (27 August 2026) — Admin Navigation Redesign</w:t>
      </w:r>
    </w:p>
    <w:p>
      <w:pPr>
        <w:pStyle w:val="BodyText"/>
      </w:pPr>
      <w:r>
        <w:t>On 27 August 2026 the staff Admin application's navigation was reorganised from a single flat list of 21 links into four collapsible, self-remembering categories, to match the agreed screen taxonomy captured in four reference screenshots dated 27 August 2026 (see the screenshots/ folder).</w:t>
      </w:r>
    </w:p>
    <w:p>
      <w:pPr>
        <w:pStyle w:val="BodyText"/>
      </w:pPr>
      <w:r>
        <w:t>The four categories and their menu items are:</w:t>
      </w:r>
    </w:p>
    <w:p>
      <w:pPr>
        <w:pStyle w:val="BodyText"/>
      </w:pPr>
      <w:r>
        <w:t>•  Admin / Backend: Dashboard, Companies &amp; Holdings, Product Manager, Order Management, Inventory*, Customers (CRM), Support Tickets, Marketing &amp; Promos*, CMS / Site Builder*, Users &amp; Settings, Activity Log.</w:t>
      </w:r>
    </w:p>
    <w:p>
      <w:pPr>
        <w:pStyle w:val="BodyText"/>
      </w:pPr>
      <w:r>
        <w:t>•  Human Resources: HR Dashboard*, Employees, Departments*, Attendance, Leave Requests, Shift Scheduling*, Recruitment, Payroll*.</w:t>
      </w:r>
    </w:p>
    <w:p>
      <w:pPr>
        <w:pStyle w:val="BodyText"/>
      </w:pPr>
      <w:r>
        <w:t>•  My HR (employee self-service): My Profile, Clock In / Out*, My Leave*, My Shifts*, My Performance*, My Payslips*, My Salary Advances*.</w:t>
      </w:r>
    </w:p>
    <w:p>
      <w:pPr>
        <w:pStyle w:val="BodyText"/>
      </w:pPr>
      <w:r>
        <w:t>•  Financial &amp; Accounting: Financial &amp; Accounting (overview)*, General Ledger &amp; Journals, Accounts Payable, Expenses, Assets, Projects, Reports, Suppliers, Inter-Company.</w:t>
      </w:r>
    </w:p>
    <w:p>
      <w:pPr>
        <w:pStyle w:val="BodyText"/>
      </w:pPr>
      <w:r>
        <w:t>Items marked with an asterisk (*) are part of the taxonomy but have no backend service in the current slice. In the application they render as navigable “Planned” placeholder screens so the structure has no dead links. Every previously working screen remains available — it has only been regrouped, and in some cases relabelled (Companies → Companies &amp; Holdings, Products → Product Manager, Orders → Order Management, Users &amp; Roles → Users &amp; Settings, Audit Trail → Activity Log, Accounting → General Ledger &amp; Journals, Leave → Leave Requests). Suppliers moved under Financial &amp; Accounting; Performance is no longer a top-level link (manager-side access is retained via /performance and the HR flows, and “My Performance” is the self-service entry).</w:t>
      </w:r>
    </w:p>
    <w:p>
      <w:pPr>
        <w:pStyle w:val="BodyText"/>
      </w:pPr>
      <w:r>
        <w:t>This is a front-end-only change: NAV_GROUPS taxonomy and a collapsible category component in mbms/frontend/src/components/Layout.jsx, a shared ComingSoon placeholder component, 14 placeholder routes in App.jsx, and sidebar styles in app.css. There is no API, database schema, or data-migration impact. Verified with a production vite build (62 modules, no errors) and a headless screenshot of the running dev server.</w:t>
      </w:r>
    </w:p>
    <w:p>
      <w:pPr>
        <w:pStyle w:val="Heading2"/>
      </w:pPr>
      <w:r>
        <w:t>Impact on this document</w:t>
      </w:r>
    </w:p>
    <w:p>
      <w:pPr>
        <w:pStyle w:val="BodyText"/>
      </w:pPr>
      <w:r>
        <w:t>The process-to-menu mapping is refreshed: HR processes (recruitment, attendance, leave) are reached under Human Resources; employee self-service steps (clock in/out, leave application, payslip retrieval, salary-advance requests) are reached under My HR; accounting and finance processes under Financial &amp; Accounting. Payroll (§7.1) and Inventory / Warehouse Operations (§6.3) remain future-state and now have explicit placeholder screens.</w:t>
      </w:r>
    </w:p>
    <w:p>
      <w:pPr>
        <w:pStyle w:val="Heading1"/>
      </w:pPr>
      <w:r>
        <w:t>Implementation Status Update 27 (27 August 2026) — Delegated Administration (Grant Authority)</w:t>
      </w:r>
    </w:p>
    <w:p>
      <w:pPr>
        <w:pStyle w:val="BodyText"/>
      </w:pPr>
      <w:r>
        <w:t>Every admin user may only view, create, update, delete and execute the operations that have been granted to them — enforced per request by the permission guard, which re-derives the user's roles and permissions from the database on every call. On 27 August 2026 the model for HOW those grants are made was tightened: roles and direct permissions may now only be granted or revoked by three business grantor roles, each within a bounded authority.</w:t>
      </w:r>
    </w:p>
    <w:p>
      <w:pPr>
        <w:pStyle w:val="BodyText"/>
      </w:pPr>
      <w:r>
        <w:t>Grantor authority:</w:t>
      </w:r>
    </w:p>
    <w:p>
      <w:pPr>
        <w:pStyle w:val="BodyText"/>
      </w:pPr>
      <w:r>
        <w:t>•  Managing Director: may delegate any role and any permission (every domain), to any user, group-wide.</w:t>
      </w:r>
    </w:p>
    <w:p>
      <w:pPr>
        <w:pStyle w:val="BodyText"/>
      </w:pPr>
      <w:r>
        <w:t>•  Branch Manager: may delegate only “operations”-domain permissions (and roles composed only of them), and only to users inside their own company/branch scope.</w:t>
      </w:r>
    </w:p>
    <w:p>
      <w:pPr>
        <w:pStyle w:val="BodyText"/>
      </w:pPr>
      <w:r>
        <w:t>•  Human Resources Manager: may delegate only “hr”-domain permissions, and only to users inside their own company/branch scope.</w:t>
      </w:r>
    </w:p>
    <w:p>
      <w:pPr>
        <w:pStyle w:val="BodyText"/>
      </w:pPr>
      <w:r>
        <w:t>•  Super Administrator / IT Administrator: retain unbounded grant authority as the platform bootstrap / break-glass path (they hold identity.user.manage).</w:t>
      </w:r>
    </w:p>
    <w:p>
      <w:pPr>
        <w:pStyle w:val="BodyText"/>
      </w:pPr>
      <w:r>
        <w:t>Mechanism: every permission now carries a domain (identity, org, hr, finance, operations or governance). DELEGATION_RULES maps each grantor role to the domains it may delegate and whether its reach is group-wide or own-scope; a user with several grantor roles gets the union. DelegationService.assertCanGrant runs on every grant and every revoke (a role assignment is first expanded to its permission codes): it checks each permission's domain against the actor's authority, then — for own-scope grantors — that every one of the target user's scope rows is covered by one of the actor's. A new permission identity.user.delegate lets the three grantor roles reach the grant/revoke and read-only user-list endpoints; user lifecycle (create / activate / lock / scope) stays limited to identity.user.manage.</w:t>
      </w:r>
    </w:p>
    <w:p>
      <w:pPr>
        <w:pStyle w:val="BodyText"/>
      </w:pPr>
      <w:r>
        <w:t>Supporting changes: GET /identity/users/{id}/delegatable-grants returns exactly the roles and permissions the signed-in admin may grant on that user plus a canDelegateToTarget flag, and the Users &amp; Settings screen uses it so its dropdowns only ever offer allowed grants and it shows a notice when the selected user is outside the admin's scope. Grant and revoke are written to the audit trail (identity.user.updated with roleAssigned / roleRemoved / permissionGranted / permissionRevoked); a blocked attempt is recorded as UsersController.access.denied. One Prisma migration adds permissions.domain; the seed backfills every domain and grants identity.user.delegate to the Managing Director, Branch Manager, Human Resources Manager and Super Administrator. Verified end-to-end against the running API (MD grants any domain; Branch Manager grants operations in-scope but is refused an hr permission and any out-of-scope target; HR Manager grants hr in-scope but is refused operations; a non-grantor is refused by the guard).</w:t>
      </w:r>
    </w:p>
    <w:p>
      <w:pPr>
        <w:pStyle w:val="Heading2"/>
      </w:pPr>
      <w:r>
        <w:t>Impact on this document</w:t>
      </w:r>
    </w:p>
    <w:p>
      <w:pPr>
        <w:pStyle w:val="BodyText"/>
      </w:pPr>
      <w:r>
        <w:t>A cross-cutting process is added — “Grant / Revoke System Access”: a Branch Manager or HR Manager (or the Managing Director) selects a user and assigns a role or permission; the system permits it only if the permission's domain and the target user's scope are within the grantor's authority, otherwise it is refused and logged. This slots into the Management Approval Framework as a manager-level, system-enforced control.</w:t>
      </w:r>
    </w:p>
    <w:p>
      <w:pPr>
        <w:pStyle w:val="Heading1"/>
      </w:pPr>
      <w:r>
        <w:t>Implementation Status Update 28 (27 August 2026) — Permission-Based Visibility (Hide Unpermitted Operations)</w:t>
      </w:r>
    </w:p>
    <w:p>
      <w:pPr>
        <w:pStyle w:val="BodyText"/>
      </w:pPr>
      <w:r>
        <w:t>Building on the delegated-administration model, the Admin application now HIDES what a user has not been granted rather than only blocking it on submit: an operation a user has not been permitted — whether by the Managing Director, a Branch Manager or an HR Manager — is not shown to them at all.</w:t>
      </w:r>
    </w:p>
    <w:p>
      <w:pPr>
        <w:pStyle w:val="BodyText"/>
      </w:pPr>
      <w:r>
        <w:t>Behaviour:</w:t>
      </w:r>
    </w:p>
    <w:p>
      <w:pPr>
        <w:pStyle w:val="BodyText"/>
      </w:pPr>
      <w:r>
        <w:t>•  Sidebar: a menu item the signed-in user lacks the permission for is not rendered — not greyed, not disabled; a whole category disappears when none of its items are visible.</w:t>
      </w:r>
    </w:p>
    <w:p>
      <w:pPr>
        <w:pStyle w:val="BodyText"/>
      </w:pPr>
      <w:r>
        <w:t>•  Direct URL: typing the address of a screen the user may not see redirects them to the Dashboard; no flash of content.</w:t>
      </w:r>
    </w:p>
    <w:p>
      <w:pPr>
        <w:pStyle w:val="BodyText"/>
      </w:pPr>
      <w:r>
        <w:t>•  Always visible: the Dashboard and the “My HR” employee self-service screens (my profile, clock in/out, my leave, my shifts, my performance, my payslips, my salary advances).</w:t>
      </w:r>
    </w:p>
    <w:p>
      <w:pPr>
        <w:pStyle w:val="BodyText"/>
      </w:pPr>
      <w:r>
        <w:t>•  Platform administrators: holders of identity.user.manage (Super Administrator / IT Administrator) see everything, as they administer the system itself.</w:t>
      </w:r>
    </w:p>
    <w:p>
      <w:pPr>
        <w:pStyle w:val="BodyText"/>
      </w:pPr>
      <w:r>
        <w:t>Mechanism: the login, token-refresh and GET /identity/users/me responses now include the user's effective permission codes (role permissions plus direct grants) — the same set the request guard already enforces. The front end holds one map, ROUTE_CAPABILITIES (mbms/frontend/src/lib/capabilities.js), from each admin route to the permission code(s) that make it meaningful ('*' = always; '__platform_admin__' = platform admins only, used for planned screens with no permission code yet, e.g. Payroll). The sidebar filters its items through this map; RequireAuth checks it on every navigation and redirects to the Dashboard when the target is not permitted; a hasPermission(...) helper is available to screens for finer hiding. The map is the single source for both the menu and the route guard so they cannot drift. While a session saved before this field existed is being re-hydrated (the app re-reads /identity/users/me on load), nothing is blocked client-side — the API still enforces every call.</w:t>
      </w:r>
    </w:p>
    <w:p>
      <w:pPr>
        <w:pStyle w:val="BodyText"/>
      </w:pPr>
      <w:r>
        <w:t>This is presentation and navigation only — no new permission codes, no schema change, no change to what the API allows (every endpoint keeps its own permission check). Verified with the running system: signed in as Sales Manager (product.manage, sales.order.manage, customer.manage, expense.create, expense.approve.manager, leave.approve) the sidebar shows only Dashboard, Product Manager, Order Management, Inventory, Customers (CRM), Marketing &amp; Promos, CMS / Site Builder, Leave Requests, the whole My HR group and Expenses — nothing else — and navigating to /users redirects to the Dashboard.</w:t>
      </w:r>
    </w:p>
    <w:p>
      <w:pPr>
        <w:pStyle w:val="Heading2"/>
      </w:pPr>
      <w:r>
        <w:t>Impact on this document</w:t>
      </w:r>
    </w:p>
    <w:p>
      <w:pPr>
        <w:pStyle w:val="BodyText"/>
      </w:pPr>
      <w:r>
        <w:t>Process view: a participant in a business process now sees only the menu entries for the steps they perform. Steps they do not perform (e.g. finance approval for a claims submitter) are absent from their navigation, not merely disabled.</w:t>
      </w:r>
    </w:p>
    <w:p>
      <w:pPr>
        <w:pStyle w:val="Heading1"/>
      </w:pPr>
      <w:r>
        <w:t>Implementation Status Update 29 (27 August 2026) — Customer Storefront Localisation (Uganda Languages)</w:t>
      </w:r>
    </w:p>
    <w:p>
      <w:pPr>
        <w:pStyle w:val="BodyText"/>
      </w:pPr>
      <w:r>
        <w:t>A customer can now switch the Customer Storefront into any of Uganda's languages from a picker in the header, and on the Landing and Login screens before sign-in. The choice is remembered in that browser (localStorage 'storefront.lang') and also sets the page's HTML lang attribute.</w:t>
      </w:r>
    </w:p>
    <w:p>
      <w:pPr>
        <w:pStyle w:val="BodyText"/>
      </w:pPr>
      <w:r>
        <w:t>Coverage (agreed scope: framework + key strings + English fallback):</w:t>
      </w:r>
    </w:p>
    <w:p>
      <w:pPr>
        <w:pStyle w:val="BodyText"/>
      </w:pPr>
      <w:r>
        <w:t>•  Languages offered: the two official languages (English, Kiswahili) plus Uganda's indigenous languages grouped by family in the picker — Bantu (Luganda, Runyankole, Rukiga, Lusoga, Rutooro, Lumasaba, Kinyarwanda), Nilotic (Ateso, Acholi, Lango, Karamojong, Alur, Kakwa) and Central Sudanic (Lugbara, Ma'di, Aringa).</w:t>
      </w:r>
    </w:p>
    <w:p>
      <w:pPr>
        <w:pStyle w:val="BodyText"/>
      </w:pPr>
      <w:r>
        <w:t>•  Translated now: English is the complete baseline; Kiswahili and Luganda cover the key UI strings (navigation, header, buttons, page headings, common labels); Runyankole and Acholi are partial.</w:t>
      </w:r>
    </w:p>
    <w:p>
      <w:pPr>
        <w:pStyle w:val="BodyText"/>
      </w:pPr>
      <w:r>
        <w:t>•  Fallback: any string not yet translated for the chosen language renders in English, key by key, so a page is never half-blank; untranslated languages are listed and marked accordingly for translators to fill.</w:t>
      </w:r>
    </w:p>
    <w:p>
      <w:pPr>
        <w:pStyle w:val="BodyText"/>
      </w:pPr>
      <w:r>
        <w:t>•  Not translated in this pass: long body / marketing prose, and any server-generated text (statuses, e-mails) — the preference is applied in the browser only; no API response changes.</w:t>
      </w:r>
    </w:p>
    <w:p>
      <w:pPr>
        <w:pStyle w:val="BodyText"/>
      </w:pPr>
      <w:r>
        <w:t>Mechanism: mbms/storefront/src/locales/index.js holds LANGUAGE_LIST (code, English label, local name, language family) and LOCALES — one flat key-to-string table per language, with the English table complete. mbms/storefront/src/lib/i18n.jsx provides an I18nProvider (reads and persists the choice, sets document lang) and a t(key, vars) helper that returns the chosen language's string, else English, else the key, interpolating {name}-style placeholders. A LanguageSwitcher component (grouped by family) sits in the storefront header and on the Landing and Login screens; all eleven storefront pages call t() for their navigation, headings and primary buttons.</w:t>
      </w:r>
    </w:p>
    <w:p>
      <w:pPr>
        <w:pStyle w:val="BodyText"/>
      </w:pPr>
      <w:r>
        <w:t>No back-end, database or API change — the language preference lives only in the customer's browser. Verified with the running storefront: the home page in Luganda (navigation “Awaka / Edduuka / Ebiragiro Byange / Inivoosi n'Ebisasulo / Obuyambi / Akakawunti Kange”, welcome “Tukwanirizza nate, …”) and the login screen in Kiswahili (“Barua pepe au Nambari ya Akaunti”, “Nywila”, “Ingia”); switching to a not-yet-translated language falls back to English cleanly.</w:t>
      </w:r>
    </w:p>
    <w:p>
      <w:pPr>
        <w:pStyle w:val="Heading2"/>
      </w:pPr>
      <w:r>
        <w:t>Impact on this document</w:t>
      </w:r>
    </w:p>
    <w:p>
      <w:pPr>
        <w:pStyle w:val="BodyText"/>
      </w:pPr>
      <w:r>
        <w:t>Customer-facing process note: the “browse / order / pay / get support” storefront journeys can each be followed in the customer's chosen language for the translated UI elements; back-office processes are unaffected.</w:t>
      </w:r>
    </w:p>
    <w:p>
      <w:pPr>
        <w:pStyle w:val="Heading1"/>
      </w:pPr>
      <w:r>
        <w:t>Implementation Status Update 30 (27 August 2026) — Storefront Localisation Extended to World Languages</w:t>
      </w:r>
    </w:p>
    <w:p>
      <w:pPr>
        <w:pStyle w:val="BodyText"/>
      </w:pPr>
      <w:r>
        <w:t>The Customer Storefront language picker, introduced the same day for Uganda's languages, is extended to the major languages of every continent — 43 languages in total. The picker groups them: Uganda's language families first, then Africa, Asia, Europe, the Americas and Oceania.</w:t>
      </w:r>
    </w:p>
    <w:p>
      <w:pPr>
        <w:pStyle w:val="BodyText"/>
      </w:pPr>
      <w:r>
        <w:t>What changed from the Uganda-languages pass:</w:t>
      </w:r>
    </w:p>
    <w:p>
      <w:pPr>
        <w:pStyle w:val="BodyText"/>
      </w:pPr>
      <w:r>
        <w:t>•  Languages added: Africa — Arabic, Hausa, Yoruba, Igbo, Amharic, Zulu; Asia — Mandarin Chinese, Hindi, Bengali, Japanese, Indonesian, Russian, Turkish; Europe — German, French, Spanish, Italian; the Americas — Portuguese, Quechua, Guarani; Oceania — Tok Pisin, Māori, Samoan, Tongan, Fijian.</w:t>
      </w:r>
    </w:p>
    <w:p>
      <w:pPr>
        <w:pStyle w:val="BodyText"/>
      </w:pPr>
      <w:r>
        <w:t>•  Now translated (key UI): in addition to English (complete), Kiswahili and Luganda, the key UI strings are translated for French, Spanish, Portuguese, German, Italian and Arabic; Runyankole and Acholi remain partial; every other language falls back to English key by key.</w:t>
      </w:r>
    </w:p>
    <w:p>
      <w:pPr>
        <w:pStyle w:val="BodyText"/>
      </w:pPr>
      <w:r>
        <w:t>•  Right-to-left: Arabic is the first right-to-left language; selecting it flips the document direction (the HTML dir attribute) and a small dir='rtl' block in the stylesheet corrects the few physically-placed elements. Any right-to-left language added later behaves the same way.</w:t>
      </w:r>
    </w:p>
    <w:p>
      <w:pPr>
        <w:pStyle w:val="BodyText"/>
      </w:pPr>
      <w:r>
        <w:t>•  Unchanged: still a front-end-only change — the preference lives in the customer's browser; no API, database schema or migration is affected, and server-generated text is not translated in this pass.</w:t>
      </w:r>
    </w:p>
    <w:p>
      <w:pPr>
        <w:pStyle w:val="BodyText"/>
      </w:pPr>
      <w:r>
        <w:t>Mechanism: LANGUAGE_LIST in mbms/storefront/src/locales/index.js gains the world languages (each with a code, English label, local/native name and a group), plus an optional dir: 'rtl' marker and a dirForLang() helper. LOCALES gains a translated key-string table for fr, es, pt, de, it and ar, and an empty (English-fallback) entry for every other new code. lib/i18n.jsx now also sets document.documentElement.dir on each language change. LanguageSwitcher already groups by the region field, so it renders the new continent groups without change. No storefront page needed editing — they were already wired to t() in the previous pass.</w:t>
      </w:r>
    </w:p>
    <w:p>
      <w:pPr>
        <w:pStyle w:val="BodyText"/>
      </w:pPr>
      <w:r>
        <w:t>Verified with the running storefront: the home page in French (navigation “Accueil / Boutique / Mes commandes / Factures et paiements / Assistance / Mon compte”, welcome “Bon retour, …”), and the login and home screens in Arabic with the entire layout mirrored right-to-left (“تسجيل الدخول”, “البريد الإلكتروني أو رقم الحساب”). Languages without a translation yet fall back to English cleanly.</w:t>
      </w:r>
    </w:p>
    <w:p>
      <w:pPr>
        <w:pStyle w:val="Heading2"/>
      </w:pPr>
      <w:r>
        <w:t>Impact on this document</w:t>
      </w:r>
    </w:p>
    <w:p>
      <w:pPr>
        <w:pStyle w:val="BodyText"/>
      </w:pPr>
      <w:r>
        <w:t>No process change. The customer-facing journeys can now be followed in a wider set of languages for the translated UI elements; right-to-left customers see a mirrored layout.</w:t>
      </w:r>
    </w:p>
    <w:p>
      <w:pPr>
        <w:pStyle w:val="Heading1"/>
      </w:pPr>
      <w:r>
        <w:t>Implementation Status Update 31 (27 August 2026) — Full Storefront Localisation (Every Screen)</w:t>
      </w:r>
    </w:p>
    <w:p>
      <w:pPr>
        <w:pStyle w:val="BodyText"/>
      </w:pPr>
      <w:r>
        <w:t>When a customer changes language, the WHOLE Customer Storefront now changes, not only the navigation and page headings. Every visible string was pulled into the translation catalogue and every storefront component was wired to render through it.</w:t>
      </w:r>
    </w:p>
    <w:p>
      <w:pPr>
        <w:pStyle w:val="BodyText"/>
      </w:pPr>
      <w:r>
        <w:t>What this pass covered:</w:t>
      </w:r>
    </w:p>
    <w:p>
      <w:pPr>
        <w:pStyle w:val="BodyText"/>
      </w:pPr>
      <w:r>
        <w:t>•  Full string extraction: about 190 keys covering all eleven storefront pages, the shared Layout, and the public Landing page (hero, feature cards, the how-it-works steps, footer and the full five-point disclaimer modal).</w:t>
      </w:r>
    </w:p>
    <w:p>
      <w:pPr>
        <w:pStyle w:val="BodyText"/>
      </w:pPr>
      <w:r>
        <w:t>•  Every UI element keyed: form labels, input placeholders, empty-state messages, table headers, buttons, breadcrumb trails, error and success banners, and the order / invoice / ticket status and priority badges (new tStatus() / tPriority() helpers, replacing the raw UPPER-CASE humaniser for any value present in the catalogue).</w:t>
      </w:r>
    </w:p>
    <w:p>
      <w:pPr>
        <w:pStyle w:val="BodyText"/>
      </w:pPr>
      <w:r>
        <w:t>•  Nine languages complete: English is the baseline; Kiswahili, Luganda, French, Spanish, Portuguese, German, Italian and Arabic are now translated in full, so selecting any of them changes every screen. Runyankole and Acholi remain partial; all other languages fall back to English string by string.</w:t>
      </w:r>
    </w:p>
    <w:p>
      <w:pPr>
        <w:pStyle w:val="BodyText"/>
      </w:pPr>
      <w:r>
        <w:t>•  Unchanged: still a front-end-only change — no API, database schema or migration is affected. Server-supplied data (company names, product names, monetary amounts) is shown exactly as the API returns it.</w:t>
      </w:r>
    </w:p>
    <w:p>
      <w:pPr>
        <w:pStyle w:val="BodyText"/>
      </w:pPr>
      <w:r>
        <w:t>Mechanism: the catalogue was split for maintainability into mbms/storefront/src/locales/en.js (the complete key set), eu.js (French, Spanish, Portuguese, German, Italian) and regional.js (Swahili, Luganda, Arabic in full; Runyankole and Acholi partial), assembled by locales/index.js which also exposes FULLY_TRANSLATED_LANGS. lib/i18n.jsx gained tStatus() and tPriority(), which look up status.* / priority.* keys and fall back to the previous humanised form for any enum not in the catalogue. Every page component (Home, Shop, Product Detail, Cart, Orders, Invoices, Make Payment, Support, Account, Login, Landing) now renders exclusively through t() / tStatus() / tPriority(); lib/format.js's statusLabel is no longer used by the UI.</w:t>
      </w:r>
    </w:p>
    <w:p>
      <w:pPr>
        <w:pStyle w:val="BodyText"/>
      </w:pPr>
      <w:r>
        <w:t>Verified against the running storefront: the French Orders screen (status column, order tracker steps, filter and buttons all translated), the German Account screen (every field label, payment terms, add-address button), and the Arabic Home screen — each rendered entirely in the chosen language, with Arabic mirrored right-to-left, and only server-supplied data left in its original form. Selecting a not-yet-translated language leaves each individual string in English rather than blank.</w:t>
      </w:r>
    </w:p>
    <w:p>
      <w:pPr>
        <w:pStyle w:val="Heading2"/>
      </w:pPr>
      <w:r>
        <w:t>Impact on this document</w:t>
      </w:r>
    </w:p>
    <w:p>
      <w:pPr>
        <w:pStyle w:val="BodyText"/>
      </w:pPr>
      <w:r>
        <w:t>No process change. Each customer-facing journey is now fully legible in the customer's language for all UI text; the underlying process steps and data are unchanged.</w:t>
      </w:r>
    </w:p>
    <w:p>
      <w:pPr>
        <w:pStyle w:val="Heading1"/>
      </w:pPr>
      <w:r>
        <w:t>Implementation Status Update 32 (27 August 2026) — Database Content Localisation (Read in Language, Store in English)</w:t>
      </w:r>
    </w:p>
    <w:p>
      <w:pPr>
        <w:pStyle w:val="BodyText"/>
      </w:pPr>
      <w:r>
        <w:t>Localisation now reaches the data, not only the interface. A customer sees database values in the language they chose, and anything a customer types is stored in English — with their exact original wording kept alongside so nothing is lost.</w:t>
      </w:r>
    </w:p>
    <w:p>
      <w:pPr>
        <w:pStyle w:val="BodyText"/>
      </w:pPr>
      <w:r>
        <w:t>The two directions:</w:t>
      </w:r>
    </w:p>
    <w:p>
      <w:pPr>
        <w:pStyle w:val="BodyText"/>
      </w:pPr>
      <w:r>
        <w:t>•  Read — data shown in the customer's language: the storefront sends an Accept-Language header on every request; the customer-portal endpoints map product and category names, units of measure, and the glossary-reachable parts of descriptions and support-ticket text into that language on the way out. Database rows are unchanged.</w:t>
      </w:r>
    </w:p>
    <w:p>
      <w:pPr>
        <w:pStyle w:val="BodyText"/>
      </w:pPr>
      <w:r>
        <w:t>•  Write — customer input stored in English: when a customer submits a support ticket, a ticket reply or a delivery address in another language, the text is normalised to English for storage; the row keeps a source_language marker and *_original columns holding the customer's exact words. The customer sees their own wording back while browsing in that language; staff see and store English, with a “show customer's original” toggle on the Support Tickets screen.</w:t>
      </w:r>
    </w:p>
    <w:p>
      <w:pPr>
        <w:pStyle w:val="BodyText"/>
      </w:pPr>
      <w:r>
        <w:t>•  Curated glossary: a bidirectional phrase- and token-level map covers the finite storefront vocabulary — category names, units, address words, and the recurring tokens in product names. Order / invoice / ticket status and priority values are covered by the existing UI catalogue, not the glossary.</w:t>
      </w:r>
    </w:p>
    <w:p>
      <w:pPr>
        <w:pStyle w:val="BodyText"/>
      </w:pPr>
      <w:r>
        <w:t>•  Free-form prose: arbitrary text outside the glossary passes through a TranslationProvider seam whose bundled implementation is a no-op — this proof-of-concept is offline with no translation service. A real provider (a hosted MT service or an LLM) plugs in there and is selected with CONTENT_TRANSLATION_PROVIDER.</w:t>
      </w:r>
    </w:p>
    <w:p>
      <w:pPr>
        <w:pStyle w:val="BodyText"/>
      </w:pPr>
      <w:r>
        <w:t>Mechanism: a new mbms/backend/src/common/translation module — content-glossary.ts (the bidirectional vocabulary), translation.provider.ts (the provider interface plus the no-op IdentityTranslationProvider), content-translation.service.ts (resolveLang from Accept-Language, toLocale for read, toEnglish for write) and a @Global translation.module.ts. One Prisma migration (content_translation_originals) adds source_language and *_original columns to support_tickets, ticket_messages and delivery_addresses. The customer-portal catalog, support and account controllers read the header; SupportService and CustomerAccountService normalise inbound text and persist the originals; the staff SupportService resource and the admin Support Tickets screen expose them.</w:t>
      </w:r>
    </w:p>
    <w:p>
      <w:pPr>
        <w:pStyle w:val="BodyText"/>
      </w:pPr>
      <w:r>
        <w:t>Verified against the running API: catalogue categories return as “Pembejeo za Kilimo / Mafuta / Ghala” in Swahili and product names token-translate (“Maïs Semence — 25kg Sac” in French); a support ticket written in Luganda is stored with an English subject/description, source_language 'lg', and the Luganda originals preserved — the customer still sees their own words, and the same customer viewing in French gets the English glossary-translated into French, not the Luganda original.</w:t>
      </w:r>
    </w:p>
    <w:p>
      <w:pPr>
        <w:pStyle w:val="Heading2"/>
      </w:pPr>
      <w:r>
        <w:t>Impact on this document</w:t>
      </w:r>
    </w:p>
    <w:p>
      <w:pPr>
        <w:pStyle w:val="BodyText"/>
      </w:pPr>
      <w:r>
        <w:t>Process note: the “raise a support ticket” and “manage delivery addresses” customer processes gain a language-normalisation step — the customer works in their language, the record is English, and staff-facing steps are unaffected. An admin reviewing a ticket can reveal the original wording.</w:t>
      </w:r>
    </w:p>
    <w:p>
      <w:pPr>
        <w:pStyle w:val="Heading1"/>
      </w:pPr>
      <w:r>
        <w:t>Implementation Status Update 33 (27 August 2026) — Currency &amp; Figure Localisation (Convert for Display, Store Canonical)</w:t>
      </w:r>
    </w:p>
    <w:p>
      <w:pPr>
        <w:pStyle w:val="BodyText"/>
      </w:pPr>
      <w:r>
        <w:t>Localisation now covers money and numerals. A customer sees amounts and figures in the form their language expects; the database keeps a single canonical form (English words, Uganda Shillings, Western 0-9 digits).</w:t>
      </w:r>
    </w:p>
    <w:p>
      <w:pPr>
        <w:pStyle w:val="BodyText"/>
      </w:pPr>
      <w:r>
        <w:t>The behaviour:</w:t>
      </w:r>
    </w:p>
    <w:p>
      <w:pPr>
        <w:pStyle w:val="BodyText"/>
      </w:pPr>
      <w:r>
        <w:t>•  Currency conversion for display: amounts come from the API in Uganda Shillings (UGX). When the customer's chosen language belongs to a region that uses another currency, the storefront converts the amount and formats it for that locale — currency name, value, thousands grouping and decimal mark all follow it. Uganda's languages keep UGX unchanged.</w:t>
      </w:r>
    </w:p>
    <w:p>
      <w:pPr>
        <w:pStyle w:val="BodyText"/>
      </w:pPr>
      <w:r>
        <w:t>•  Numerals in the language's script: digits in localised database text (for example the “25kg” inside a translated product name) and standalone figures (quantities, stock, dashboard counts) are shown in the language's own digit script where it has one — Arabic-Indic for Arabic, Western for the rest.</w:t>
      </w:r>
    </w:p>
    <w:p>
      <w:pPr>
        <w:pStyle w:val="BodyText"/>
      </w:pPr>
      <w:r>
        <w:t>•  Fixed demo rates: conversion uses single constant rates (UGX per unit: USD 3800, EUR 4150, AED 1022, BRL 700), consistent with the existing “no live FX feed” position for this proof-of-concept; a real feed replaces the constants.</w:t>
      </w:r>
    </w:p>
    <w:p>
      <w:pPr>
        <w:pStyle w:val="BodyText"/>
      </w:pPr>
      <w:r>
        <w:t>•  Storage stays canonical: nothing about the stored data changes — monetary columns remain UGX, and any numeral a customer types in a non-Western script is transliterated to 0-9 before storage (their original characters are kept in the *_original columns from the previous change).</w:t>
      </w:r>
    </w:p>
    <w:p>
      <w:pPr>
        <w:pStyle w:val="BodyText"/>
      </w:pPr>
      <w:r>
        <w:t>Mechanism: mbms/storefront/src/lib/format.js gains locale-aware helpers — money() (currency conversion + Intl.NumberFormat with currencyDisplay:'name'), figure() (locale-formatted integers) and localizeDigits() — driven by CURRENCY_BY_LANG, UGX_PER_UNIT and LOCALE_TAG maps. On the backend, ContentTranslationService.toLocale also transliterates digits in text for scripts that need it (DIGIT_SCRIPTS), and toEnglish runs toWesternDigits on every inbound string first — even for an otherwise-unsupported language — so “٥” is stored as “5”. No database schema change and no new endpoint.</w:t>
      </w:r>
    </w:p>
    <w:p>
      <w:pPr>
        <w:pStyle w:val="BodyText"/>
      </w:pPr>
      <w:r>
        <w:t>Verified against the running storefront: in Arabic, catalogue prices read as “93.93 درهم إماراتي” with Arabic-Indic digits in product names (“… ١٠kg …”); in French, every amount is EUR with fr-FR formatting (“3 687,04 euros”). A support ticket typed in Arabic with Arabic-Indic digits is stored with Western digits and the exact original preserved.</w:t>
      </w:r>
    </w:p>
    <w:p>
      <w:pPr>
        <w:pStyle w:val="Heading2"/>
      </w:pPr>
      <w:r>
        <w:t>Impact on this document</w:t>
      </w:r>
    </w:p>
    <w:p>
      <w:pPr>
        <w:pStyle w:val="BodyText"/>
      </w:pPr>
      <w:r>
        <w:t>Process note: customer-facing figures (order totals, invoice amounts, balances, quantities) are presented in the customer's currency and number format; back-office figures and postings are unchanged and remain in UGX.</w:t>
      </w:r>
    </w:p>
    <w:p>
      <w:pPr>
        <w:pStyle w:val="Heading1"/>
      </w:pPr>
      <w:r>
        <w:t>Implementation Status Update 34 (27 August 2026) — Subsidiary Lifecycle &amp; Clearing / Forwarding Subsidiary</w:t>
      </w:r>
    </w:p>
    <w:p>
      <w:pPr>
        <w:pStyle w:val="BodyText"/>
      </w:pPr>
      <w:r>
        <w:t>The Managing Director asked to be able to view, create, update, delete and activate/deactivate subsidiaries and everything under them (users, branches, departments, policies), and to set up a new Clearing, Forwarding &amp; Logistics subsidiary. Both are done: the subsidiary lifecycle is fully manageable, and “Morise Clearing &amp; Forwarding Ltd” now exists as a real subsidiary.</w:t>
      </w:r>
    </w:p>
    <w:p>
      <w:pPr>
        <w:pStyle w:val="BodyText"/>
      </w:pPr>
      <w:r>
        <w:t>What was delivered:</w:t>
      </w:r>
    </w:p>
    <w:p>
      <w:pPr>
        <w:pStyle w:val="BodyText"/>
      </w:pPr>
      <w:r>
        <w:t>•  MD gains full company + user administration: the Managing Director role now holds organization.company.manage and identity.user.manage in addition to its group-wide view, so an MD can create and change subsidiaries and the users, branches, departments and policies under them (previously view-only).</w:t>
      </w:r>
    </w:p>
    <w:p>
      <w:pPr>
        <w:pStyle w:val="BodyText"/>
      </w:pPr>
      <w:r>
        <w:t>•  Delete and execute controls added: new endpoints — DELETE /organization/companies/{id} (and the same for branches, departments and policies), plus POST .../companies/{id}/activate and /deactivate. A company can only be hard-deleted once it is genuinely empty; otherwise the response says to deactivate it instead. The root holding company can never be deleted or deactivated. Every action is audited (organization.*.deleted / .updated).</w:t>
      </w:r>
    </w:p>
    <w:p>
      <w:pPr>
        <w:pStyle w:val="BodyText"/>
      </w:pPr>
      <w:r>
        <w:t>•  Admin UI: the Companies list gains per-row Activate/Deactivate and Delete for subsidiaries; the Company detail screen gains Delete on each branch, department and policy row and Activate/Deactivate/Delete for the subsidiary itself. All gated to Managing Director / Super Administrator / IT Administrator.</w:t>
      </w:r>
    </w:p>
    <w:p>
      <w:pPr>
        <w:pStyle w:val="BodyText"/>
      </w:pPr>
      <w:r>
        <w:t>•  New subsidiary seeded: Morise Clearing &amp; Forwarding Ltd — wholly-owned (100%), UGX — with six border/airport branches (Kampala HQ, Malaba, Busia, Entebbe Airport, Mutukula, Elegu), eight departments (Customs Clearance, Freight Forwarding, Warehousing, Logistics &amp; Supply Chain, Export Facilitation, Fleet Management, Client Services, Finance &amp; Billing) and four starter policies (KYC, disbursement pre-funding, demurrage escalation, tax/levy rate configuration).</w:t>
      </w:r>
    </w:p>
    <w:p>
      <w:pPr>
        <w:pStyle w:val="BodyText"/>
      </w:pPr>
      <w:r>
        <w:t>The subsidiary's multi-module clearing/forwarding/logistics system — sixteen feature areas covering client &amp; CRM, job files, customs clearance with the URA duty/tax engine, freight forwarding, logistics &amp; supply chain, export facilitation, warehousing, multi-branch management, finance &amp; billing, document management, tracking &amp; notifications, reporting &amp; analytics, compliance &amp; risk, integrations, mobile apps and administration/security — is specified in a new document, 19_Clearing, Forwarding and Logistics System — Feature Specification, with a five-phase delivery backlog. None of those modules are built in the current MBMS slice; where the platform already has a capability (identity, org, finance, audit, notifications) the subsidiary will reuse it.</w:t>
      </w:r>
    </w:p>
    <w:p>
      <w:pPr>
        <w:pStyle w:val="BodyText"/>
      </w:pPr>
      <w:r>
        <w:t>Changes: backend organization service — companies/branches/departments/policies services and controllers gain remove(), companies gains setStatus() with activate/deactivate endpoints; seed.ts grants the MD role the two permissions and seeds the subsidiary org structure; admin frontend Companies.jsx and CompanyDetail.jsx gain the delete / activate-deactivate controls. No schema change. Verified end-to-end: the MD created, updated, added branch/department/policy to and deleted a test subsidiary, activated/deactivated it, and was correctly blocked (409, “deactivate instead”) from deleting the populated Clearing &amp; Forwarding subsidiary.</w:t>
      </w:r>
    </w:p>
    <w:p>
      <w:pPr>
        <w:pStyle w:val="Heading2"/>
      </w:pPr>
      <w:r>
        <w:t>Impact on this document</w:t>
      </w:r>
    </w:p>
    <w:p>
      <w:pPr>
        <w:pStyle w:val="BodyText"/>
      </w:pPr>
      <w:r>
        <w:t>Process: “Establish / retire a subsidiary” is now a system-supported process for the Managing Director — create the company, add its branches / departments / policies, assign users, and later deactivate or (if empty) delete it, each step audited.</w:t>
      </w:r>
    </w:p>
    <w:p>
      <w:pPr>
        <w:pStyle w:val="Heading1"/>
      </w:pPr>
      <w:r>
        <w:t>Implementation Status Update 35 (27 August 2026) — Warehouse Management Subsidiary</w:t>
      </w:r>
    </w:p>
    <w:p>
      <w:pPr>
        <w:pStyle w:val="BodyText"/>
      </w:pPr>
      <w:r>
        <w:t>Using the subsidiary-lifecycle capability delivered in the previous change, the Managing Director set up a second new subsidiary: a multi-branch warehouse operation for Uganda. It exists as a real, manageable subsidiary; its Warehouse Management System is specified as future scope.</w:t>
      </w:r>
    </w:p>
    <w:p>
      <w:pPr>
        <w:pStyle w:val="BodyText"/>
      </w:pPr>
      <w:r>
        <w:t>What was delivered:</w:t>
      </w:r>
    </w:p>
    <w:p>
      <w:pPr>
        <w:pStyle w:val="BodyText"/>
      </w:pPr>
      <w:r>
        <w:t>•  New subsidiary seeded: Morise Warehouse Management Ltd — wholly-owned (100%), UGX — a subsidiary of Morise Holdings Limited.</w:t>
      </w:r>
    </w:p>
    <w:p>
      <w:pPr>
        <w:pStyle w:val="BodyText"/>
      </w:pPr>
      <w:r>
        <w:t>•  Branches: five warehouse branches: Kampala Central, Jinja, Mbarara, Gulu and Mbale.</w:t>
      </w:r>
    </w:p>
    <w:p>
      <w:pPr>
        <w:pStyle w:val="BodyText"/>
      </w:pPr>
      <w:r>
        <w:t>•  Departments: nine: Branch Operations, Inventory Control, Receiving &amp; Putaway, Order Fulfilment, Yard &amp; Dock, Reporting &amp; BI, IT &amp; Integrations, Compliance &amp; Security, and Field &amp; Mobile Operations.</w:t>
      </w:r>
    </w:p>
    <w:p>
      <w:pPr>
        <w:pStyle w:val="BodyText"/>
      </w:pPr>
      <w:r>
        <w:t>•  Starter policies: FEFO/FIFO stock rotation, cycle-count schedule, write-off &amp; transfer approval threshold, EFRIS/VAT configuration, and offline operation &amp; sync.</w:t>
      </w:r>
    </w:p>
    <w:p>
      <w:pPr>
        <w:pStyle w:val="BodyText"/>
      </w:pPr>
      <w:r>
        <w:t>The subsidiary's Warehouse Management System — twelve feature areas covering multi-location &amp; branch management, core inventory (batch/lot, serial, multi-UOM, cycle counting, ABC), receiving &amp; putaway with barcode scanning and cross-docking, order fulfilment (wave/zone picking, kitting, manifests, carrier integration), Uganda-specific features (multi-currency, 18% VAT with EFRIS/URA, mobile money, offline mode, Luganda/Swahili/Runyankole-Rukiga interfaces, power-outage resilience, road-condition alerts), yard &amp; dock management, reporting &amp; BI, integrations &amp; APIs, mobile &amp; field capabilities, security &amp; compliance (aligned with the Data Protection and Privacy Act 2019), advanced/future-ready features (AI forecasting, IoT cold-chain, RFID, AGV, blockchain traceability) and user management &amp; workflow — is specified in a new document, 20_Warehouse Management System (WMS) — Feature Specification, with a five-phase delivery backlog. None of those modules are built in the current MBMS slice; the WMS reuses the platform's identity, organisation, finance, audit, notification and localisation capabilities where they already exist.</w:t>
      </w:r>
    </w:p>
    <w:p>
      <w:pPr>
        <w:pStyle w:val="BodyText"/>
      </w:pPr>
      <w:r>
        <w:t>Changes: seed.ts seeds the subsidiary org structure (company, 5 branches, 9 departments, 5 policies) under the holding company. No code or schema change — the Managing Director already has full create/update/delete/activate over subsidiaries and their branches, departments and policies from the previous change. Verified: as the Managing Director, the subsidiary and all five branches, nine departments and five policies are visible and manageable through the admin Companies screens.</w:t>
      </w:r>
    </w:p>
    <w:p>
      <w:pPr>
        <w:pStyle w:val="Heading2"/>
      </w:pPr>
      <w:r>
        <w:t>Impact on this document</w:t>
      </w:r>
    </w:p>
    <w:p>
      <w:pPr>
        <w:pStyle w:val="BodyText"/>
      </w:pPr>
      <w:r>
        <w:t>Process: the “establish a subsidiary” process is exercised again — company created, five branches and nine departments added, five operating policies configured — all by the Managing Director, each step audited.</w:t>
      </w:r>
    </w:p>
    <w:p>
      <w:pPr>
        <w:pStyle w:val="Heading1"/>
      </w:pPr>
      <w:r>
        <w:t>Implementation Status Update 36 (28 August 2026) — Inventory Section Activated</w:t>
      </w:r>
    </w:p>
    <w:p>
      <w:pPr>
        <w:pStyle w:val="BodyText"/>
      </w:pPr>
      <w:r>
        <w:t>The Admin sidebar's Inventory item, under ADMIN / BACKEND, was a “Coming Soon” placeholder from the navigation redesign. It is now a working screen: company-level stock on hand, per-product re-order points, stock adjustments and an immutable movement ledger.</w:t>
      </w:r>
    </w:p>
    <w:p>
      <w:pPr>
        <w:pStyle w:val="BodyText"/>
      </w:pPr>
      <w:r>
        <w:t>What was delivered:</w:t>
      </w:r>
    </w:p>
    <w:p>
      <w:pPr>
        <w:pStyle w:val="BodyText"/>
      </w:pPr>
      <w:r>
        <w:t>•  Stock on hand: each product keeps one stock-on-hand figure (products.stock_quantity). The Inventory screen lists every product with its code, category, unit of measure, on-hand quantity, unit price, stock value and a status of In stock / Low / Out of stock.</w:t>
      </w:r>
    </w:p>
    <w:p>
      <w:pPr>
        <w:pStyle w:val="BodyText"/>
      </w:pPr>
      <w:r>
        <w:t>•  Re-order points: a new products.reorder_point column. A product at or below its re-order point is flagged Low; at zero it is flagged Out of stock. Set or cleared from the screen (PUT /inventory/products/{id}/reorder-point).</w:t>
      </w:r>
    </w:p>
    <w:p>
      <w:pPr>
        <w:pStyle w:val="BodyText"/>
      </w:pPr>
      <w:r>
        <w:t>•  Stock adjustments: POST /inventory/adjustments records one change: receipt (goods in, adds), issue (goods out, subtracts, with an over-issue guard — 409 if more than is in stock), or count (a physical count; the counted figure becomes the on-hand and the signed difference is recorded). Requires product.manage.</w:t>
      </w:r>
    </w:p>
    <w:p>
      <w:pPr>
        <w:pStyle w:val="BodyText"/>
      </w:pPr>
      <w:r>
        <w:t>•  Movement ledger: a new stock_movements table (with a StockMovementType enum: receipt / issue / count). Every adjustment writes an immutable row — signed quantity, resulting balance, reason, reference, user and timestamp — shown newest-first on the screen's Movements tab and readable at GET /inventory/movements.</w:t>
      </w:r>
    </w:p>
    <w:p>
      <w:pPr>
        <w:pStyle w:val="BodyText"/>
      </w:pPr>
      <w:r>
        <w:t>•  Access &amp; audit: reads are scoped per BR-01 exactly like the product list (a user sees stock only for companies in their scope, unless they hold product.viewAll group-wide). Every adjustment and threshold change is written to the audit trail (inventory.stock.adjusted, inventory.reorder_point.updated).</w:t>
      </w:r>
    </w:p>
    <w:p>
      <w:pPr>
        <w:pStyle w:val="BodyText"/>
      </w:pPr>
      <w:r>
        <w:t>Backend: a new module, src/inventory (controller, service, DTOs), registered in app.module.ts. Migration 20260828120000_inventory_stock_movements adds products.reorder_point, the stock_movements table and the StockMovementType enum. The seed gives the catalogue products a re-order point and an opening-balance movement so the screen and ledger have content on a fresh database.</w:t>
      </w:r>
    </w:p>
    <w:p>
      <w:pPr>
        <w:pStyle w:val="BodyText"/>
      </w:pPr>
      <w:r>
        <w:t>Frontend: a new page, src/pages/Inventory.jsx, replacing the &lt;ComingSoon&gt; stub for /inventory in App.jsx; the sidebar entry loses its “Soon” badge. KPI tiles (stock-keeping units, low stock, out of stock, total stock value), a company selector, search and a low/out-of-stock filter, an Adjust dialog (type, quantity, reason, reference, with the projected new on-hand shown) and a Re-order point dialog. The route is permission-filtered like every other admin screen — visible to holders of product.viewAll or product.manage.</w:t>
      </w:r>
    </w:p>
    <w:p>
      <w:pPr>
        <w:pStyle w:val="BodyText"/>
      </w:pPr>
      <w:r>
        <w:t>Scope boundary: this is company-level inventory only — one stock figure per product. Per-branch stock balances, bin/location tracking and inter-branch transfers remain Warehouse Management System scope (20_Warehouse Management System (WMS) — Feature Specification, Module 2 “Core Inventory Management”); this Update is the first working slice of that module on the shared platform. No change to roles or permissions — the existing product.viewAll / product.manage pair gates the screen.</w:t>
      </w:r>
    </w:p>
    <w:p>
      <w:pPr>
        <w:pStyle w:val="Heading2"/>
      </w:pPr>
      <w:r>
        <w:t>Impact on this document</w:t>
      </w:r>
    </w:p>
    <w:p>
      <w:pPr>
        <w:pStyle w:val="BodyText"/>
      </w:pPr>
      <w:r>
        <w:t>Business process: the “adjust stock” process — goods received against a delivery, goods issued to an order or written off, and periodic physical counts — is now a defined, audited transaction. Each adjustment names a reason and an optional reference (e.g. a GRN or order number) and leaves a ledger row.</w:t>
      </w:r>
    </w:p>
    <w:p>
      <w:pPr>
        <w:pStyle w:val="Heading1"/>
      </w:pPr>
      <w:r>
        <w:t>Implementation Status Update 37 (28 August 2026) — Marketing &amp; Promos and CMS / Site Builder Activated</w:t>
      </w:r>
    </w:p>
    <w:p>
      <w:pPr>
        <w:pStyle w:val="BodyText"/>
      </w:pPr>
      <w:r>
        <w:t>Two more ADMIN / BACKEND placeholders — Marketing &amp; Promos and CMS / Site Builder — are now working screens, and the customer storefront consumes both.</w:t>
      </w:r>
    </w:p>
    <w:p>
      <w:pPr>
        <w:pStyle w:val="BodyText"/>
      </w:pPr>
      <w:r>
        <w:t>What was delivered:</w:t>
      </w:r>
    </w:p>
    <w:p>
      <w:pPr>
        <w:pStyle w:val="BodyText"/>
      </w:pPr>
      <w:r>
        <w:t>•  Discount codes: a new discount_codes table (DiscountType percentage/fixed, DiscountCodeStatus). Staff create codes with a value, optional minimum order, validity window and redemption cap; the storefront validates a code at the cart (POST /customer-portal/discount-codes/validate) and the order-placement path re-validates and redeems it once, taking the discount off the subtotal before VAT and delivery. Orders gain discount_code and discount_amount columns.</w:t>
      </w:r>
    </w:p>
    <w:p>
      <w:pPr>
        <w:pStyle w:val="BodyText"/>
      </w:pPr>
      <w:r>
        <w:t>•  Promo banners: a new promo_banners table. Staff manage heading, body, link, placement, schedule and active flag; the storefront home renders the currently-live banners (GET /customer-portal/promo-banners).</w:t>
      </w:r>
    </w:p>
    <w:p>
      <w:pPr>
        <w:pStyle w:val="BodyText"/>
      </w:pPr>
      <w:r>
        <w:t>•  CMS content pages: a new content_blocks table (ContentBlockStatus draft/published). Each page has a working copy and a published snapshot; editing never affects what the storefront serves until Publish. The storefront renders published pages at /page/{slug} (GET /customer-portal/content, /content/{slug}) — About, Terms, Delivery are seeded.</w:t>
      </w:r>
    </w:p>
    <w:p>
      <w:pPr>
        <w:pStyle w:val="BodyText"/>
      </w:pPr>
      <w:r>
        <w:t>•  Access &amp; audit: two new permission pairs — marketing.manage / marketing.viewAll (operations domain) and cms.manage / cms.viewAll (governance domain). Reads need the viewAll or the manage code; writes need manage. Discount codes and banners are per-company and scoped per BR-01; content pages are site-wide. Every change is audited (marketing.discount_code.*, marketing.banner.*, cms.content_block.*).</w:t>
      </w:r>
    </w:p>
    <w:p>
      <w:pPr>
        <w:pStyle w:val="BodyText"/>
      </w:pPr>
      <w:r>
        <w:t>Backend: new modules src/marketing and src/cms, plus a customer-portal/storefront sub-module for the public content and authenticated promo/validate endpoints. A shared, database-free evaluateDiscountCode() is used by both the storefront validate endpoint and OrdersService so the cart and the placed order can never disagree on the discount. Migration 20260828160000_marketing_promos_cms adds the three tables, their enums and the two order columns. The seed adds demo discount codes (including an expired one), a promo banner and the About / Terms / Delivery content pages, and wires the four permissions to Super Administrator (all), Managing Director (viewAll), IT Administrator (all, demo break-glass) and Sales Manager (marketing).</w:t>
      </w:r>
    </w:p>
    <w:p>
      <w:pPr>
        <w:pStyle w:val="BodyText"/>
      </w:pPr>
      <w:r>
        <w:t>Admin frontend: new pages src/pages/Marketing.jsx (Discount codes / Banners tabs with CRUD and activate/deactivate) and src/pages/Cms.jsx (page list + editor + Save draft / Publish / Unpublish / Delete), replacing the &lt;ComingSoon&gt; stubs for /marketing and /cms in App.jsx; both sidebar entries lose their “Soon” badge and are permission-filtered on the new codes.</w:t>
      </w:r>
    </w:p>
    <w:p>
      <w:pPr>
        <w:pStyle w:val="BodyText"/>
      </w:pPr>
      <w:r>
        <w:t>Storefront: the cart gains a discount-code field that applies and shows a discount line and revised total; the home page renders active promo banners; a new public /page/{slug} route renders published content, linked from the Landing footer (About / Terms &amp; Conditions / Delivery &amp; Returns).</w:t>
      </w:r>
    </w:p>
    <w:p>
      <w:pPr>
        <w:pStyle w:val="Heading2"/>
      </w:pPr>
      <w:r>
        <w:t>Impact on this document</w:t>
      </w:r>
    </w:p>
    <w:p>
      <w:pPr>
        <w:pStyle w:val="BodyText"/>
      </w:pPr>
      <w:r>
        <w:t>Business process: “issue a promotion” and “publish site content” are now defined, audited flows. A discount code is created, optionally scheduled and capped, applied by the customer at checkout and redeemed exactly once against the order; a content page is drafted, reviewed and published, and can be unpublished.</w:t>
      </w:r>
    </w:p>
    <w:p>
      <w:pPr>
        <w:pStyle w:val="Heading1"/>
      </w:pPr>
      <w:r>
        <w:t>Implementation Status Update 38 (28 August 2026) — Managing Director Full Control of Marketing &amp; CMS</w:t>
      </w:r>
    </w:p>
    <w:p>
      <w:pPr>
        <w:pStyle w:val="BodyText"/>
      </w:pPr>
      <w:r>
        <w:t>When Marketing &amp; Promos and CMS / Site Builder were activated earlier today, the Managing Director held only the read (viewAll) permissions for both — the create / edit / publish controls appeared but writes were refused (403). At the Managing Director's request, the role now holds the full manage permissions for both sections.</w:t>
      </w:r>
    </w:p>
    <w:p>
      <w:pPr>
        <w:pStyle w:val="BodyText"/>
      </w:pPr>
      <w:r>
        <w:t>What changed:</w:t>
      </w:r>
    </w:p>
    <w:p>
      <w:pPr>
        <w:pStyle w:val="BodyText"/>
      </w:pPr>
      <w:r>
        <w:t>•  Managing Director role: gains marketing.manage and cms.manage (it already held marketing.viewAll and cms.viewAll). Seeded in seed.ts alongside the organization.company.manage / identity.user.manage the role already holds for the subsidiary lifecycle.</w:t>
      </w:r>
    </w:p>
    <w:p>
      <w:pPr>
        <w:pStyle w:val="BodyText"/>
      </w:pPr>
      <w:r>
        <w:t>•  Marketing &amp; Promos: the Managing Director can now view, create, update, delete and execute (activate / deactivate) discount codes, and view, create, update and delete promotional banners, group-wide.</w:t>
      </w:r>
    </w:p>
    <w:p>
      <w:pPr>
        <w:pStyle w:val="BodyText"/>
      </w:pPr>
      <w:r>
        <w:t>•  CMS / Site Builder: the Managing Director can now view, create, update, publish, unpublish and delete storefront content pages.</w:t>
      </w:r>
    </w:p>
    <w:p>
      <w:pPr>
        <w:pStyle w:val="BodyText"/>
      </w:pPr>
      <w:r>
        <w:t>•  New endpoint: DELETE /api/v1/marketing/discount-codes/{id} was added so a discount code can be removed outright, not only deactivated. It is safe because orders.discount_code stores the code as text, so an order placed with a code keeps its record after the code is deleted. Requires marketing.manage.</w:t>
      </w:r>
    </w:p>
    <w:p>
      <w:pPr>
        <w:pStyle w:val="BodyText"/>
      </w:pPr>
      <w:r>
        <w:t>No schema change and no change to the delegation rules — marketing.manage is an operations-domain permission and cms.manage a governance-domain permission, both already delegable by the Managing Director (all domains, group-wide). The permission guard is an any-of match on the caller's effective permissions, so adding the two codes to the role is sufficient; the admin screens already showed the controls to this role because it holds identity.user.manage.</w:t>
      </w:r>
    </w:p>
    <w:p>
      <w:pPr>
        <w:pStyle w:val="BodyText"/>
      </w:pPr>
      <w:r>
        <w:t>Verified as the Managing Director: create, update, deactivate and delete a discount code; create, update and delete a promo banner; create, update, publish, unpublish and delete a content page — every call returned 200 or 201. A role without the codes (Auditor) is still refused (403).</w:t>
      </w:r>
    </w:p>
    <w:p>
      <w:pPr>
        <w:pStyle w:val="Heading2"/>
      </w:pPr>
      <w:r>
        <w:t>Impact on this document</w:t>
      </w:r>
    </w:p>
    <w:p>
      <w:pPr>
        <w:pStyle w:val="BodyText"/>
      </w:pPr>
      <w:r>
        <w:t>Process: the Managing Director can now carry out the “issue a promotion” and “publish site content” processes end to end, including retiring a discount code by deleting it rather than only deactivating it.</w:t>
      </w:r>
    </w:p>
    <w:p>
      <w:pPr>
        <w:pStyle w:val="Heading1"/>
      </w:pPr>
      <w:r>
        <w:t>Implementation Status Update 39 (28 August 2026) — Localisation Extended to Promo Banners &amp; CMS Content</w:t>
      </w:r>
    </w:p>
    <w:p>
      <w:pPr>
        <w:pStyle w:val="BodyText"/>
      </w:pPr>
      <w:r>
        <w:t>The database-content localisation delivered earlier (read in the customer's language, store the customer's input in English) covered the catalogue, support tickets and delivery addresses. The two storefront surfaces activated since then — promotional banners and CMS content pages — were still served as stored English. They now pass through the same translation seam.</w:t>
      </w:r>
    </w:p>
    <w:p>
      <w:pPr>
        <w:pStyle w:val="BodyText"/>
      </w:pPr>
      <w:r>
        <w:t>What changed:</w:t>
      </w:r>
    </w:p>
    <w:p>
      <w:pPr>
        <w:pStyle w:val="BodyText"/>
      </w:pPr>
      <w:r>
        <w:t>•  Promo banners: GET /customer-portal/promo-banners now honours Accept-Language: heading, body and link label are rendered in the customer's chosen language through the content-translation glossary, and digits are shown in the language's own script (e.g. Arabic-Indic for Arabic).</w:t>
      </w:r>
    </w:p>
    <w:p>
      <w:pPr>
        <w:pStyle w:val="BodyText"/>
      </w:pPr>
      <w:r>
        <w:t>•  CMS content pages: GET /customer-portal/content and /content/{slug} now honour Accept-Language: the page title and body are rendered in the customer's language. The canonical stored value stays English; only the response is localised.</w:t>
      </w:r>
    </w:p>
    <w:p>
      <w:pPr>
        <w:pStyle w:val="BodyText"/>
      </w:pPr>
      <w:r>
        <w:t>•  Discount-code messages: the checkout discount validator returns a stable messageKey (with parameters where needed, e.g. the minimum order amount) instead of only an English sentence, so the storefront shows “that code has expired”, “this code needs a subtotal of at least …”, etc. in the chosen language. An English message is still returned as a fallback and is what the 409 on order placement carries server-side.</w:t>
      </w:r>
    </w:p>
    <w:p>
      <w:pPr>
        <w:pStyle w:val="BodyText"/>
      </w:pPr>
      <w:r>
        <w:t>•  Glossary + provider seam: the curated glossary gains the seeded banner and content strings for the eight fully-translated languages (Swahili, Luganda, French, Spanish, Portuguese, German, Italian, Arabic). Body prose beyond the curated entries still falls through to the translation provider, whose bundled implementation is a no-op until a real machine-translation service is configured — the same documented boundary as for product descriptions and ticket bodies.</w:t>
      </w:r>
    </w:p>
    <w:p>
      <w:pPr>
        <w:pStyle w:val="BodyText"/>
      </w:pPr>
      <w:r>
        <w:t>Write direction is unchanged and was re-verified: a customer typing in another language still has their input normalised to English on save, with the original wording kept alongside (support tickets, delivery addresses). Nothing in the promo / CMS flows is customer-typed — a discount code is a language-neutral identifier and the subtotal is computed client-side in Western digits — so no new store-in-English handling was required there.</w:t>
      </w:r>
    </w:p>
    <w:p>
      <w:pPr>
        <w:pStyle w:val="BodyText"/>
      </w:pPr>
      <w:r>
        <w:t>Changes: marketing.service.ts and cms.service.ts take a language argument and localise their storefront responses via ContentTranslationService; customer-storefront.controller.ts reads Accept-Language and resolves it; discount.util.ts adds messageKey / messageParams to every outcome; the storefront cart renders the message key through its i18n catalogue; content-glossary.ts and the eight-language storefront locale files gain the new strings. No schema change. Verified: promo banner and About / Terms / Delivery pages render in French, Swahili, German and Arabic (with Arabic-Indic digits); the English view is unchanged; a delivery address typed in Swahili is still stored as English with the original kept.</w:t>
      </w:r>
    </w:p>
    <w:p>
      <w:pPr>
        <w:pStyle w:val="Heading2"/>
      </w:pPr>
      <w:r>
        <w:t>Impact on this document</w:t>
      </w:r>
    </w:p>
    <w:p>
      <w:pPr>
        <w:pStyle w:val="BodyText"/>
      </w:pPr>
      <w:r>
        <w:t>Process: unchanged. The “render database text in the customer's language” step in the storefront read flow now also applies to the promo banner on the home page and to the content page at /page/{slug}.</w:t>
      </w:r>
    </w:p>
    <w:p>
      <w:pPr>
        <w:pStyle w:val="Heading1"/>
      </w:pPr>
      <w:r>
        <w:t>Implementation Status Update 40 (28 August 2026) — HR Dashboard &amp; Departments Sections Activated</w:t>
      </w:r>
    </w:p>
    <w:p>
      <w:pPr>
        <w:pStyle w:val="BodyText"/>
      </w:pPr>
      <w:r>
        <w:t>Two HUMAN RESOURCES placeholders from the navigation redesign — HR Dashboard and Departments — are now working screens.</w:t>
      </w:r>
    </w:p>
    <w:p>
      <w:pPr>
        <w:pStyle w:val="BodyText"/>
      </w:pPr>
      <w:r>
        <w:t>What was delivered:</w:t>
      </w:r>
    </w:p>
    <w:p>
      <w:pPr>
        <w:pStyle w:val="BodyText"/>
      </w:pPr>
      <w:r>
        <w:t>•  HR Dashboard: a new read-only endpoint GET /api/v1/hr/dashboard aggregates the employee, attendance, leave and recruitment modules into four groups: headcount (active / inactive, and by company, branch, department and contract type); attendance over the last 30 days (records, absence rate, late rate, present / half-day); recruitment (open vacancies, positions open, awaiting approval, and the candidate pipeline by stage); and upcoming events over the next 30 days (contracts ending, probation ending, approved leave starting). Visible to any holder of an HR viewAll permission (employee / recruitment / attendance / leave / performance); figures are group-wide for those holders and limited to the caller's companies otherwise.</w:t>
      </w:r>
    </w:p>
    <w:p>
      <w:pPr>
        <w:pStyle w:val="BodyText"/>
      </w:pPr>
      <w:r>
        <w:t>•  Departments: a dedicated management screen. A new endpoint GET /api/v1/organization/departments lists every department across the companies in the caller's scope, each with its company name and current headcount. Create, rename and delete reuse the existing organization endpoints (POST /organization/companies/{id}/departments, PATCH and DELETE /organization/departments/{id}); the delete is still blocked (409) while staff are assigned. Writes require organization.company.manage; the list is also visible to organization.company.viewAll / employee.viewAll / recruitment.viewAll holders as a read-only view.</w:t>
      </w:r>
    </w:p>
    <w:p>
      <w:pPr>
        <w:pStyle w:val="BodyText"/>
      </w:pPr>
      <w:r>
        <w:t>•  Demo data: Morise Agro Ltd gains three departments (Field Operations, Finance &amp; Administration, Warehouse &amp; Distribution) with its three employees assigned one each; about three working weeks of recent attendance records with a realistic scatter of late / absent days; one fixed-term contract ending in about three weeks; and one approved leave starting in about ten days — so both screens show live figures on a fresh database.</w:t>
      </w:r>
    </w:p>
    <w:p>
      <w:pPr>
        <w:pStyle w:val="BodyText"/>
      </w:pPr>
      <w:r>
        <w:t>Backend: a new module src/hr-dashboard (controller + service), registered in app.module.ts; src/organization/departments gains a listAll() service method and a GET route on the /organization/departments controller. No schema change and no new permission — the HR Dashboard is gated on the existing HR viewAll codes, Departments management on the existing organization.company.manage.</w:t>
      </w:r>
    </w:p>
    <w:p>
      <w:pPr>
        <w:pStyle w:val="BodyText"/>
      </w:pPr>
      <w:r>
        <w:t>Admin frontend: new pages src/pages/Hr.jsx (KPI tiles + breakdown tables + pipeline + upcoming-events lists) and src/pages/Departments.jsx (filterable table with headcount, plus New / Rename / Delete for managers), replacing the &lt;ComingSoon&gt; stubs for /hr and /departments in App.jsx; both sidebar entries lose their “Soon” badge and are permission-filtered. Verified: as the Managing Director the HR Dashboard returns headcount 3 across 3 departments, 45 attendance records (4.4% absence, 13.3% late), the recruitment pipeline, and the seeded contract-ending and leave-starting rows; a Human Resources Manager sees the same (group-wide for its own function); a Sales Manager without an HR viewAll permission is refused (403). Departments create / rename / delete all succeed, and deleting a department that still has staff is refused (409).</w:t>
      </w:r>
    </w:p>
    <w:p>
      <w:pPr>
        <w:pStyle w:val="Heading2"/>
      </w:pPr>
      <w:r>
        <w:t>Impact on this document</w:t>
      </w:r>
    </w:p>
    <w:p>
      <w:pPr>
        <w:pStyle w:val="BodyText"/>
      </w:pPr>
      <w:r>
        <w:t>Business process: the “review HR position” and “maintain the department structure” activities now have system support — a controller reviews the dashboard; an administrator adds or renames a department and reassigns staff before removing one.</w:t>
      </w:r>
    </w:p>
    <w:p>
      <w:pPr>
        <w:pStyle w:val="Heading1"/>
      </w:pPr>
      <w:r>
        <w:t>Implementation Status Update 41 (28 August 2026) — Shift Scheduling &amp; Payroll Sections Activated</w:t>
      </w:r>
    </w:p>
    <w:p>
      <w:pPr>
        <w:pStyle w:val="BodyText"/>
      </w:pPr>
      <w:r>
        <w:t>The last two HUMAN RESOURCES placeholders from the navigation redesign — Shift Scheduling and Payroll — are now working modules.</w:t>
      </w:r>
    </w:p>
    <w:p>
      <w:pPr>
        <w:pStyle w:val="BodyText"/>
      </w:pPr>
      <w:r>
        <w:t>What was delivered:</w:t>
      </w:r>
    </w:p>
    <w:p>
      <w:pPr>
        <w:pStyle w:val="BodyText"/>
      </w:pPr>
      <w:r>
        <w:t>•  Shift Scheduling: a new roster_entries table (RosterEntry: one employee x one calendar day -&gt; one shift template, status planned or published; one entry per employee per day, a second is rejected as a clash). Endpoints GET/POST/DELETE /api/v1/shift-scheduling/entries, POST /shift-scheduling/publish (promotes a date range from planned to published and notifies the affected employees) and GET /shift-scheduling/coverage (per-day staffed count, unrostered count and clash flags — an employee rostered on a day they are also on approved leave). Roster writes reuse attendance.manage; no new permission was added for shift scheduling.</w:t>
      </w:r>
    </w:p>
    <w:p>
      <w:pPr>
        <w:pStyle w:val="BodyText"/>
      </w:pPr>
      <w:r>
        <w:t>•  Payroll: a monthly payroll run. Employee gains gross_salary and pay_frequency. New payroll_runs, payslips and salary_advances tables with their status enums. POST /api/v1/payroll/runs computes, per active employee with a gross salary, the Uganda PAYE (income-tax bands) and NSSF (5% employee, 10% employer) figures plus any approved salary-advance instalment, and produces a payslip; the run moves draft -&gt; approved -&gt; paid. Paying it posts a balanced journal entry (Dr staff costs = gross + employer NSSF; Cr PAYE Payable, NSSF Payable, Staff Advances and Salaries Payable) and advances each recovered salary advance.</w:t>
      </w:r>
    </w:p>
    <w:p>
      <w:pPr>
        <w:pStyle w:val="BodyText"/>
      </w:pPr>
      <w:r>
        <w:t>•  Salary advances: GET /payroll/salary-advances, POST (request), and POST .../approve | .../reject. An approved advance is recovered in instalments (amount / instalments, capped at the outstanding balance and never taking net pay below zero) automatically on each payroll run, and flips to recovered when fully repaid.</w:t>
      </w:r>
    </w:p>
    <w:p>
      <w:pPr>
        <w:pStyle w:val="BodyText"/>
      </w:pPr>
      <w:r>
        <w:t>•  Permissions &amp; roles: three new permissions (hr domain): payroll.manage (create a run, request an advance), payroll.approve (approve / pay a run, approve / reject an advance) and payroll.viewAll. Seeded to Super Administrator and IT Administrator (all three), Human Resources Manager (manage + viewAll), Managing Director and Finance Manager (approve + viewAll) — the same prepare-vs-approve split already used for expenses. The delegation rules are unchanged (hr-domain permissions are already delegable by the HR Manager).</w:t>
      </w:r>
    </w:p>
    <w:p>
      <w:pPr>
        <w:pStyle w:val="BodyText"/>
      </w:pPr>
      <w:r>
        <w:t>Backend: new modules src/shift-scheduling and src/payroll (with a database-free src/payroll/uganda-statutory.util.ts for the PAYE / NSSF calculation), registered in app.module.ts. Migration 20260828190000_shift_scheduling_payroll adds the four tables, the three enums and the two Employee columns. The seed sets a gross salary on the demo Agro employees, a published roster for the current week and a planned one for next week, and one approved salary advance.</w:t>
      </w:r>
    </w:p>
    <w:p>
      <w:pPr>
        <w:pStyle w:val="BodyText"/>
      </w:pPr>
      <w:r>
        <w:t>Admin frontend: new pages src/pages/ShiftScheduling.jsx (a weekly employee x day roster grid with a coverage row, add / remove assignment and a one-click Publish) and src/pages/Payroll.jsx (payroll runs with a payslip breakdown and approve / pay / cancel, and a salary-advances tab), replacing the &lt;ComingSoon&gt; stubs for /shift-scheduling and /payroll in App.jsx; both sidebar entries lose their “Soon” badge and are permission-filtered. Verified: a Human Resources Manager builds and publishes a roster and creates a draft payroll run (Agro: 3 staff, gross UGX 5,600,000, PAYE UGX 1,386,000, employee NSSF UGX 280,000, net UGX 3,734,000; PAYE for a UGX 2,800,000 salary computes to UGX 742,000, matching the band schedule); the Managing Director approves and pays it, posting a balanced journal entry (Dr 6,160,000 / Cr 6,160,000) and advancing the seeded salary advance to “recovering” (UGX 200,000 of UGX 600,000); a Sales Manager with no HR permission is refused (403); a duplicate run for the same month is refused (409); a second roster entry for the same employee and day is refused (409).</w:t>
      </w:r>
    </w:p>
    <w:p>
      <w:pPr>
        <w:pStyle w:val="Heading2"/>
      </w:pPr>
      <w:r>
        <w:t>Impact on this document</w:t>
      </w:r>
    </w:p>
    <w:p>
      <w:pPr>
        <w:pStyle w:val="BodyText"/>
      </w:pPr>
      <w:r>
        <w:t>Business process: “prepare the roster / publish it” and “prepare payroll / approve it / pay it” are now defined, audited flows with a preparer (HR) and an approver (Managing Director or Finance Manager) — the same separation the expense process already uses.</w:t>
      </w:r>
    </w:p>
    <w:p>
      <w:pPr>
        <w:pStyle w:val="Heading1"/>
      </w:pPr>
      <w:r>
        <w:t>Implementation Status Update 42 (28 August 2026) — My HR Self-Service Sections Activated</w:t>
      </w:r>
    </w:p>
    <w:p>
      <w:pPr>
        <w:pStyle w:val="BodyText"/>
      </w:pPr>
      <w:r>
        <w:t>The six MY HR placeholders from the navigation redesign — Clock In / Out, My Leave, My Shifts, My Performance, My Payslips and My Salary Advances — are now working self-service screens. Every one is scoped to the Employee record linked to the signed-in user; an account with no linked record sees a friendly notice on each screen.</w:t>
      </w:r>
    </w:p>
    <w:p>
      <w:pPr>
        <w:pStyle w:val="BodyText"/>
      </w:pPr>
      <w:r>
        <w:t>What was delivered:</w:t>
      </w:r>
    </w:p>
    <w:p>
      <w:pPr>
        <w:pStyle w:val="BodyText"/>
      </w:pPr>
      <w:r>
        <w:t>•  New read layer: a new module src/my-hr with GET /api/v1/my-hr/{summary,attendance,leave,shifts,performance,payslips,salary-advances}. Each resolves the caller's Employee via Employee.userId and returns only that person's data — attendance records and today's clock state, leave balances and requests, roster entries, performance reviews and objectives, paid payslips, and salary advances. No permission is required — these are “my own” reads.</w:t>
      </w:r>
    </w:p>
    <w:p>
      <w:pPr>
        <w:pStyle w:val="BodyText"/>
      </w:pPr>
      <w:r>
        <w:t>•  Self-service actions: Clock In / Out calls the existing POST /attendance/clock-in|clock-out (already un-gated and self-resolving); My Leave calls POST /leave/applications and .../cancel; My Performance calls POST /performance/reviews/{id}/self-assessment (which already checks the review belongs to the caller). Only “request a salary advance for myself” is new: POST /api/v1/my-hr/salary-advances creates a requested advance for the caller's employee (the staff endpoint needs payroll.manage), with a one-open-advance-at-a-time guard (409).</w:t>
      </w:r>
    </w:p>
    <w:p>
      <w:pPr>
        <w:pStyle w:val="BodyText"/>
      </w:pPr>
      <w:r>
        <w:t>•  Screens: src/pages/MyHr.jsx — six components. Clock In / Out: today's status, one-tap clock in / out, 30-day present / late / absent counts and a record history. My Leave: balance cards per type and a requests table with Apply and Cancel. My Shifts: the employee's roster (published and planned), today highlighted. My Performance: objectives, reviews, and a self-assessment dialog when one is pending. My Payslips: a payslip list and a breakdown dialog (gross, PAYE, NSSF, advance recovery, net). My Salary Advances: the employee's advances with outstanding balance, and a Request dialog.</w:t>
      </w:r>
    </w:p>
    <w:p>
      <w:pPr>
        <w:pStyle w:val="BodyText"/>
      </w:pPr>
      <w:r>
        <w:t>No schema change and no new permission — the module reads existing tables (attendance_records, leave_balances / leave_applications, roster_entries, performance_reviews / performance_objectives, payslips, salary_advances) and reuses the un-gated self-service actions the attendance, leave and performance modules already expose. The six routes were already marked always-visible in the front-end capability map; they are removed from STUB_ROUTES and the sidebar entries lose their “Soon” badge.</w:t>
      </w:r>
    </w:p>
    <w:p>
      <w:pPr>
        <w:pStyle w:val="BodyText"/>
      </w:pPr>
      <w:r>
        <w:t>Verified with the demo persona whose login is linked to an employee record: the summary returns the linked profile (name, department, company, shift, gross salary); clocking in updates today's state and the 30-day counts; leave balances and the approved / submitted requests display, and a new request can be submitted and cancelled; the roster shows this week's published and next week's planned shifts; the completed performance review and its rating display; requesting a salary advance succeeds and a second concurrent request is refused (409). An account with no linked employee record gets linked:false from the summary and a 404 from the detail endpoints, and each screen shows the “ask HR to link your account” notice.</w:t>
      </w:r>
    </w:p>
    <w:p>
      <w:pPr>
        <w:pStyle w:val="Heading2"/>
      </w:pPr>
      <w:r>
        <w:t>Impact on this document</w:t>
      </w:r>
    </w:p>
    <w:p>
      <w:pPr>
        <w:pStyle w:val="BodyText"/>
      </w:pPr>
      <w:r>
        <w:t>Business process: the “employee-initiated” half of the attendance, leave, performance and payroll processes now has a screen — the manager-side review and approval steps are unchanged and remain under Human Resources.</w:t>
      </w:r>
    </w:p>
    <w:p>
      <w:pPr>
        <w:pStyle w:val="Heading1"/>
      </w:pPr>
      <w:r>
        <w:t>Implementation Status Update 43 (28 August 2026) — Demo Staff Logins Linked to Employee Records</w:t>
      </w:r>
    </w:p>
    <w:p>
      <w:pPr>
        <w:pStyle w:val="BodyText"/>
      </w:pPr>
      <w:r>
        <w:t>The My HR self-service screens work only for a login that is linked to an employee record (Employee.userId). Until now only one demo persona (the Branch Manager) was linked, so every other demo login saw the “your account is not linked to an employee record” notice on those screens. All the seeded staff logins are now linked.</w:t>
      </w:r>
    </w:p>
    <w:p>
      <w:pPr>
        <w:pStyle w:val="BodyText"/>
      </w:pPr>
      <w:r>
        <w:t>What changed:</w:t>
      </w:r>
    </w:p>
    <w:p>
      <w:pPr>
        <w:pStyle w:val="BodyText"/>
      </w:pPr>
      <w:r>
        <w:t>•  Linked accounts: the Managing Director, IT Administrator and Auditor logins are linked to new employee records in Morise Holdings Limited; the Human Resources Manager, Finance Manager, Sales Manager and Procurement Manager logins to new records in Morise Agro Ltd. Each record has a job title, department, monthly gross salary and employment start date; the Agro records also have the Day Shift and a published roster for the current week. Every linked employee gets the 2026 leave-balance set (21 annual, 10 sick, 90 maternity, 4 paternity, 5 emergency).</w:t>
      </w:r>
    </w:p>
    <w:p>
      <w:pPr>
        <w:pStyle w:val="BodyText"/>
      </w:pPr>
      <w:r>
        <w:t>•  Effect: signed in as any seeded staff persona, the six My HR screens now show that person's own data — profile summary, attendance and clock state, leave balances, roster, performance reviews, payslips (once a run that includes them is paid) and salary advances — instead of the “not linked” notice. A login still genuinely unlinked (for example a future user created without an employee record) continues to see the notice.</w:t>
      </w:r>
    </w:p>
    <w:p>
      <w:pPr>
        <w:pStyle w:val="BodyText"/>
      </w:pPr>
      <w:r>
        <w:t>This is a seed-data change only — no schema, code or permission change. The linking mechanism already existed (the employee create/update API accepts a userId); the seed now uses it for the demo staff. Side effect: the HR Dashboard headcount and the Departments screen counts rise accordingly (Morise Holdings Limited now has three staffed departments, Morise Agro Ltd seven employees), and a payroll run for either company would include the newly-salaried staff. Verified: each seeded staff login returns linked:true from GET /api/v1/my-hr/summary with a full profile, and the My HR detail endpoints return that person's rows.</w:t>
      </w:r>
    </w:p>
    <w:p>
      <w:pPr>
        <w:pStyle w:val="Heading2"/>
      </w:pPr>
      <w:r>
        <w:t>Impact on this document</w:t>
      </w:r>
    </w:p>
    <w:p>
      <w:pPr>
        <w:pStyle w:val="BodyText"/>
      </w:pPr>
      <w:r>
        <w:t>No process change. The “employee-initiated” HR actions are now exercisable for each demo persona.</w:t>
      </w:r>
    </w:p>
    <w:p>
      <w:pPr>
        <w:pStyle w:val="Heading1"/>
      </w:pPr>
      <w:r>
        <w:t>Implementation Status Update 44 (28 August 2026) — Financial &amp; Accounting Overview Activated</w:t>
      </w:r>
    </w:p>
    <w:p>
      <w:pPr>
        <w:pStyle w:val="BodyText"/>
      </w:pPr>
      <w:r>
        <w:t>The one remaining placeholder in the whole regrouped navigation — the Financial &amp; Accounting overview landing tile — is now a working read-only screen. With this every entry in the ADMIN / BACKEND, HUMAN RESOURCES, MY HR and FINANCIAL &amp; ACCOUNTING categories opens a working screen.</w:t>
      </w:r>
    </w:p>
    <w:p>
      <w:pPr>
        <w:pStyle w:val="BodyText"/>
      </w:pPr>
      <w:r>
        <w:t>What was delivered:</w:t>
      </w:r>
    </w:p>
    <w:p>
      <w:pPr>
        <w:pStyle w:val="BodyText"/>
      </w:pPr>
      <w:r>
        <w:t>•  Overview endpoint: a new module src/finance with GET /api/v1/finance/overview. It returns three parts. (1) The consolidated group financial position — total assets, liabilities and equity, cash position and bank balances, outstanding receivables and payables, and open-period revenue, expense and net profit, group-wide and per company — reusing the computation the dashboard already performs. (2) “Needs attention” working-capital figures — accounts-payable outstanding amount and count (with overdue and pending-approval counts), accounts-receivable outstanding amount and count (with overdue), expense claims awaiting finance approval, active-asset net book value and disposal requests, and active / on-hold / planned project counts. (3) Period-close status — each company's current financial period with its dates and open/closed state, and the group totals of open and closed periods.</w:t>
      </w:r>
    </w:p>
    <w:p>
      <w:pPr>
        <w:pStyle w:val="BodyText"/>
      </w:pPr>
      <w:r>
        <w:t>•  Screen: src/pages/Finance.jsx — KPI tiles for the group position, a by-company table, a “Needs attention” tile row, a period-close table, and a grid of shortcut cards into the working finance sub-screens (General Ledger &amp; Journals, Accounts Payable, Expenses, Assets, Projects, Reports, Suppliers, Inter-Company). It replaces the &lt;ComingSoon&gt; stub for /finance in App.jsx; the sidebar entry loses its “Soon” badge and STUB_ROUTES is now empty.</w:t>
      </w:r>
    </w:p>
    <w:p>
      <w:pPr>
        <w:pStyle w:val="BodyText"/>
      </w:pPr>
      <w:r>
        <w:t>•  Access: read-only, no new permission. The endpoint is gated on any one of the finance-area permissions — the same list the front-end capability map already uses for the /finance route (accounting / ap / expense / asset / project / supplier / inter-company, in their manage / approve / viewAll forms). A user with none of them is refused (403).</w:t>
      </w:r>
    </w:p>
    <w:p>
      <w:pPr>
        <w:pStyle w:val="BodyText"/>
      </w:pPr>
      <w:r>
        <w:t>No schema change. The DashboardModule now exports its service so the finance overview can reuse the balance-sheet and income computation; everything else is a straightforward aggregation over supplier invoices, customer invoices, expenses, assets, projects and financial periods. Verified: as a Finance Manager the overview returns the consolidated position (group net profit UGX 19,833,800 across five companies), the working-capital figures (AP UGX 500,000 outstanding, AR UGX 15,301,200 with 3 overdue, one expense claim awaiting finance, asset net book value UGX 45,000,000, one active project) and the two open FY2026-Q1 periods; a Sales Manager with no finance permission is refused (403).</w:t>
      </w:r>
    </w:p>
    <w:p>
      <w:pPr>
        <w:pStyle w:val="Heading2"/>
      </w:pPr>
      <w:r>
        <w:t>Impact on this document</w:t>
      </w:r>
    </w:p>
    <w:p>
      <w:pPr>
        <w:pStyle w:val="BodyText"/>
      </w:pPr>
      <w:r>
        <w:t>Process: the overview supports the “review the group's financial position” and “run the period close” activities — the actual close still happens per period in General Ledger &amp; Journals; the overview shows which periods are still open.</w:t>
      </w:r>
    </w:p>
    <w:p>
      <w:pPr>
        <w:pStyle w:val="Heading1"/>
      </w:pPr>
      <w:r>
        <w:t>Implementation Status Update 45 (29 August 2026) — Customer Sign-Up, Multi-Identifier Login &amp; Password Reset</w:t>
      </w:r>
    </w:p>
    <w:p>
      <w:pPr>
        <w:pStyle w:val="BodyText"/>
      </w:pPr>
      <w:r>
        <w:t>The Customer Storefront login previously accepted only a staff-issued email or account number and had no self-registration and no password reset. Customers can now sign themselves up, sign in with an email, phone number or account number (or with Google), and reset a forgotten password.</w:t>
      </w:r>
    </w:p>
    <w:p>
      <w:pPr>
        <w:pStyle w:val="BodyText"/>
      </w:pPr>
      <w:r>
        <w:t>What was delivered:</w:t>
      </w:r>
    </w:p>
    <w:p>
      <w:pPr>
        <w:pStyle w:val="BodyText"/>
      </w:pPr>
      <w:r>
        <w:t>•  Sign up: POST /api/v1/customer-portal/auth/register (name, email, optional phone, password, and which Morise company to buy from — listed by the public GET /customer-portal/auth/companies). It creates an active customer with a generated account number and starter terms (a small credit limit and 14-day payment terms, for staff to review in the CRM) and signs the customer straight in. A second account for the same email or phone is refused (409).</w:t>
      </w:r>
    </w:p>
    <w:p>
      <w:pPr>
        <w:pStyle w:val="BodyText"/>
      </w:pPr>
      <w:r>
        <w:t>•  Login by email, phone or account number: the single identifier field now matches a customer's email, account number OR phone. The phone match ignores formatting and country-code style, so “+256 701 234 567”, “0701234567” and “701234567” all resolve to the same account. The 5-attempt lockout is unchanged.</w:t>
      </w:r>
    </w:p>
    <w:p>
      <w:pPr>
        <w:pStyle w:val="BodyText"/>
      </w:pPr>
      <w:r>
        <w:t>•  Sign in with Google: POST /api/v1/customer-portal/auth/google. In production the request carries a verified Google ID token; this offline build trusts the email the “Continue with Google” button sends (a documented seam, like the deferred payment gateway and in-app-only notifications). A known email is signed in passwordlessly; an unknown email auto-registers a Google-linked account.</w:t>
      </w:r>
    </w:p>
    <w:p>
      <w:pPr>
        <w:pStyle w:val="BodyText"/>
      </w:pPr>
      <w:r>
        <w:t>•  Forgot / reset password: POST /customer-portal/auth/forgot-password (by email, phone or account number) issues a one-time token stored hashed with a 30-minute expiry; POST /customer-portal/auth/reset-password consumes it, sets the new password, clears any lockout and revokes every active session. With no SMTP/SMS in this build the plain token is returned in the response in dev so the flow completes end to end; a real deployment e-mails / SMSes a link instead. The forgot-password response is identical whether or not an account matched, so it never reveals which identifiers are registered.</w:t>
      </w:r>
    </w:p>
    <w:p>
      <w:pPr>
        <w:pStyle w:val="BodyText"/>
      </w:pPr>
      <w:r>
        <w:t>Backend: src/customer-portal/auth gains the four endpoints plus the companies list on the existing CustomerAuthController /Service; a new customer_password_reset_tokens table and two Customer columns (self_registered, google_linked) via migration 20260829090000_customer_self_service_auth. Every new endpoint is rate-limited. Storefront: new pages /register, /forgot-password and /reset-password, a “Continue with Google” component, and the login screen updated with the new identifier label, a “Forgot your password?” link and a “Create an account” link; the auth strings are added to the eight fully-translated languages.</w:t>
      </w:r>
    </w:p>
    <w:p>
      <w:pPr>
        <w:pStyle w:val="BodyText"/>
      </w:pPr>
      <w:r>
        <w:t>Verified end to end: a new customer registers and is signed in with a generated account number; the same customer then signs in with the email, with the phone in three different formats, and with the account number; a duplicate registration is refused (409); Google sign-in logs an existing customer in and auto-registers a new one; a reset token issued by forgot-password lets the customer set a new password, after which the old password is rejected and the token cannot be reused (401); forgot-password for an unknown identifier still returns 200 with no token.</w:t>
      </w:r>
    </w:p>
    <w:p>
      <w:pPr>
        <w:pStyle w:val="Heading2"/>
      </w:pPr>
      <w:r>
        <w:t>Impact on this document</w:t>
      </w:r>
    </w:p>
    <w:p>
      <w:pPr>
        <w:pStyle w:val="BodyText"/>
      </w:pPr>
      <w:r>
        <w:t>Business process: the “open a customer account” process gains a self-service path (customer registers -&gt; active account with starter terms -&gt; staff review terms in CRM), and a “recover access” process (request reset -&gt; follow link -&gt; set new password -&gt; all sessions ended).</w:t>
      </w:r>
    </w:p>
    <w:p>
      <w:pPr>
        <w:pStyle w:val="Heading1"/>
      </w:pPr>
      <w:r>
        <w:t>Implementation Status Update 46 (29 August 2026) — One Storefront Across Every Subsidiary and Its Branches</w:t>
      </w:r>
    </w:p>
    <w:p>
      <w:pPr>
        <w:pStyle w:val="BodyText"/>
      </w:pPr>
      <w:r>
        <w:t>The Customer Storefront previously showed only the products of the one Morise company on the customer's account. It now shows the priced, active products and services of every subsidiary in the holding group, each listing tagged with the subsidiary that sells it and the branch that produces or fulfils it, and the customer's own screens always show which subsidiary and branch their account belongs to.</w:t>
      </w:r>
    </w:p>
    <w:p>
      <w:pPr>
        <w:pStyle w:val="BodyText"/>
      </w:pPr>
      <w:r>
        <w:t>What was delivered:</w:t>
      </w:r>
    </w:p>
    <w:p>
      <w:pPr>
        <w:pStyle w:val="BodyText"/>
      </w:pPr>
      <w:r>
        <w:t>•  Group catalogue: GET /api/v1/customer-portal/catalog/products now resolves the customer's holding group (the root holding company plus every active subsidiary) and lists all of their priced, active products, each carrying companyId / companyName and branchId / branchName / branchAddress. New companyId and branchId query filters; GET /customer-portal/catalog/categories spans the group; a new GET /customer-portal/catalog/subsidiaries returns the holding company plus each subsidiary with its branch list and its branch and product counts.</w:t>
      </w:r>
    </w:p>
    <w:p>
      <w:pPr>
        <w:pStyle w:val="BodyText"/>
      </w:pPr>
      <w:r>
        <w:t>•  Branch attribution: a nullable branch_id on products (the branch that produces / stocks / fulfils the item) and a nullable home_branch_id on customers (the branch of the customer's own subsidiary that serves the account), plus a real orders.company_id → companies foreign key, via migration 20260829120000_storefront_group_catalog_branch_attribution. Sign-up gains an optional home-branch picker backed by a public GET /customer-portal/auth/branches?companyId=.</w:t>
      </w:r>
    </w:p>
    <w:p>
      <w:pPr>
        <w:pStyle w:val="BodyText"/>
      </w:pPr>
      <w:r>
        <w:t>•  “Which subsidiary and branch is mine”: GET /customer-portal/me and the login / refresh token response now return companyId / companyName, homeBranchId / homeBranchName / homeBranchAddress and the holding company name; the storefront shows them in the header, on My Account and against every product.</w:t>
      </w:r>
    </w:p>
    <w:p>
      <w:pPr>
        <w:pStyle w:val="BodyText"/>
      </w:pPr>
      <w:r>
        <w:t>•  Checkout across subsidiaries: an order — with its invoice and balanced GL posting — belongs to the selling subsidiary, so a basket is placed as one order per subsidiary. The storefront groups the cart by selling company and posts each group in turn; the API rejects a single order that mixes companies (409). A discount code, which belongs to one subsidiary, is offered only on a single-company cart. The customer's credit limit stays one account-wide facility, checked across every subsidiary's invoices.</w:t>
      </w:r>
    </w:p>
    <w:p>
      <w:pPr>
        <w:pStyle w:val="BodyText"/>
      </w:pPr>
      <w:r>
        <w:t>•  Storefront: the Shop page gains company and branch filters and a per-card “company · branch” tag; a new Subsidiaries directory page lists every company in the group with its branches and counts; the cart is sectioned by fulfilling subsidiary with per-company subtotals and a “placed as N separate orders” note; My Account shows “you buy through &lt;subsidiary&gt; · &lt;branch&gt;, part of &lt;holding&gt;”; the new strings are added to the eight fully-translated languages.</w:t>
      </w:r>
    </w:p>
    <w:p>
      <w:pPr>
        <w:pStyle w:val="BodyText"/>
      </w:pPr>
      <w:r>
        <w:t>•  Seed: Morise Agro Ltd's eight products are attributed to its Kira HQ and Mbale branches, and Morise Logistics Ltd is given a four-item priced service catalogue (road freight Kampala–Mombasa and Kampala–Kigali, last-mile delivery, pallet storage) on its Jinja branch, so the group shop is genuinely multi-company; the demo portal customers are given a home branch.</w:t>
      </w:r>
    </w:p>
    <w:p>
      <w:pPr>
        <w:pStyle w:val="BodyText"/>
      </w:pPr>
      <w:r>
        <w:t>Verified end to end: signed in as the Highland Traders Ltd portal account (a Morise Agro customer), the shop lists all twelve products across Morise Agro Ltd and Morise Logistics Ltd, each tagged with its company and branch; the subsidiaries endpoint lists all four subsidiaries with branch and product counts; the company and branch filters narrow the list; GET /me returns the subsidiary, home branch and holding company. A cart mixing Agro and Logistics items is refused (409); a Logistics-only order places ORD-2026-0001 in Morise Logistics Ltd's books, with INV-2026-0001 and a posted sale journal entry (JE-2026-0005) in that company. Backend tsc and both front-end builds are clean.</w:t>
      </w:r>
    </w:p>
    <w:p>
      <w:pPr>
        <w:pStyle w:val="Heading2"/>
      </w:pPr>
      <w:r>
        <w:t>Impact on this document</w:t>
      </w:r>
    </w:p>
    <w:p>
      <w:pPr>
        <w:pStyle w:val="BodyText"/>
      </w:pPr>
      <w:r>
        <w:t>Process — “Place a storefront order” now branches per subsidiary: the cart is grouped by selling company and each group becomes its own order → invoice → GL posting in that subsidiary's books; fulfilment is attributed per branch.</w:t>
      </w:r>
    </w:p>
    <w:p>
      <w:pPr>
        <w:pStyle w:val="Heading1"/>
      </w:pPr>
      <w:r>
        <w:t>Implementation Status Update 47 (29 August 2026) — Clearing / Forwarding and Warehouse-Management Catalogues Added to the Group Storefront</w:t>
      </w:r>
    </w:p>
    <w:p>
      <w:pPr>
        <w:pStyle w:val="BodyText"/>
      </w:pPr>
      <w:r>
        <w:t>Update 46 made the Customer Storefront a group shop but only two subsidiaries had a priced catalogue (Morise Agro Ltd and Morise Logistics Ltd). The remaining two subsidiaries — Morise Clearing &amp; Forwarding Ltd and Morise Warehouse Management Ltd — now also sell in the storefront, so a customer sees the goods and services of all four Morise subsidiaries in one shop.</w:t>
      </w:r>
    </w:p>
    <w:p>
      <w:pPr>
        <w:pStyle w:val="BodyText"/>
      </w:pPr>
      <w:r>
        <w:t>What was delivered (seed data only — no code or schema change; the group-catalogue engine from Update 46 already supports any number of selling subsidiaries):</w:t>
      </w:r>
    </w:p>
    <w:p>
      <w:pPr>
        <w:pStyle w:val="BodyText"/>
      </w:pPr>
      <w:r>
        <w:t>•  Morise Clearing &amp; Forwarding Ltd — six priced services on its Kampala HQ, Entebbe Airport, Malaba and Busia branches: import customs clearance (per entry), air import clearance at Entebbe (per AWB), ocean freight forwarding Mombasa–Kampala (per 20ft container), air freight consolidation (per kg), transit bond &amp; T1 documentation on the Malaba corridor (per consignment), and Certificate of Origin &amp; export-permit handling (per set). Categories: Customs Clearance, Freight Forwarding, Transit &amp; Documentation.</w:t>
      </w:r>
    </w:p>
    <w:p>
      <w:pPr>
        <w:pStyle w:val="BodyText"/>
      </w:pPr>
      <w:r>
        <w:t>•  Morise Warehouse Management Ltd — six priced services on its Kampala Central, Jinja and Mbarara warehouses: ambient pallet storage, chilled cold storage and bonded storage (all per pallet-month), inbound handling &amp; putaway (per pallet), pick / pack / dispatch (per order line), and cycle count &amp; inventory reconciliation (per visit). Categories: Storage, Handling &amp; Fulfilment, Value-Added Services.</w:t>
      </w:r>
    </w:p>
    <w:p>
      <w:pPr>
        <w:pStyle w:val="BodyText"/>
      </w:pPr>
      <w:r>
        <w:t>•  Each of the two companies is given a minimal chart of accounts (Cash and Bank, Accounts Receivable, Accounts Payable, Retained Earnings, Service Revenue, Cost of Services) and an open FY2026-Q1 financial period, so an order placed through the storefront is invoiced and GL-posted in that subsidiary's own books, exactly as for Morise Agro Ltd and Morise Logistics Ltd. Their full Clearing/Forwarding and Warehouse Management systems (documents 19 and 20) remain unbuilt — this is the storefront-facing service list only.</w:t>
      </w:r>
    </w:p>
    <w:p>
      <w:pPr>
        <w:pStyle w:val="BodyText"/>
      </w:pPr>
      <w:r>
        <w:t>Verified end to end: signed in as the Highland Traders Ltd portal account, the shop now lists twenty-four products across all four subsidiaries (Agro 8, Clearing &amp; Forwarding 6, Warehouse Management 6, Logistics 4); the Subsidiaries directory shows every company with a non-zero product count and an enabled “Shop” button; an order placed for a Warehouse Management service creates ORD-2026-0001, INV-2026-0001 and a posted sale journal entry in Morise Warehouse Management Ltd's books, and the same for a Clearing &amp; Forwarding order in that company's books.</w:t>
      </w:r>
    </w:p>
    <w:p>
      <w:pPr>
        <w:pStyle w:val="Heading2"/>
      </w:pPr>
      <w:r>
        <w:t>Impact on this document</w:t>
      </w:r>
    </w:p>
    <w:p>
      <w:pPr>
        <w:pStyle w:val="BodyText"/>
      </w:pPr>
      <w:r>
        <w:t>Process — the “place a storefront order” process is unchanged; two more selling companies now flow through it, each invoicing and GL-posting in its own books.</w:t>
      </w:r>
    </w:p>
    <w:p>
      <w:pPr>
        <w:pStyle w:val="Heading1"/>
      </w:pPr>
      <w:r>
        <w:t>Implementation Status Update 48 (29 August 2026) — Content Localisation Extended to the Group Storefront — Read in the Chosen Language, Store Customer Input in English</w:t>
      </w:r>
    </w:p>
    <w:p>
      <w:pPr>
        <w:pStyle w:val="BodyText"/>
      </w:pPr>
      <w:r>
        <w:t>The "read database text in the customer's language, store the customer's input in English" behaviour first delivered on 27 August 2026 (and extended to promo banners and CMS content on 28 August) now also covers the storefront paths added by the group-catalogue work (sign-up, the group catalogue, the subsidiary directory and My Account). A customer sees the database in the language they chose; an administrator always reads English in the database.</w:t>
      </w:r>
    </w:p>
    <w:p>
      <w:pPr>
        <w:pStyle w:val="BodyText"/>
      </w:pPr>
      <w:r>
        <w:t>Read — shown in the chosen language:</w:t>
      </w:r>
    </w:p>
    <w:p>
      <w:pPr>
        <w:pStyle w:val="BodyText"/>
      </w:pPr>
      <w:r>
        <w:t>•  Every product listing's subsidiary, branch and branch-address tag, the group category list, and the whole Subsidiaries directory (each company name, its branch names and addresses) are now rendered in the customer's language through the same curated glossary the catalogue and support screens use — as far as the glossary reaches; company and place proper nouns largely pass through, while words like "Warehouse", "Forwarding", "Border", "Office", "Freight", "Storage", "Delivery" translate.</w:t>
      </w:r>
    </w:p>
    <w:p>
      <w:pPr>
        <w:pStyle w:val="BodyText"/>
      </w:pPr>
      <w:r>
        <w:t>•  GET /customer-portal/me returns the customer's own business name and address, and the subsidiary / branch / holding-company names, in the chosen language; when the customer is browsing in the language they typed their name or address in, their own exact wording is shown back instead of the glossary-translated English.</w:t>
      </w:r>
    </w:p>
    <w:p>
      <w:pPr>
        <w:pStyle w:val="BodyText"/>
      </w:pPr>
      <w:r>
        <w:t>•  The glossary gained the group-catalogue vocabulary: the eight new service categories (Freight Services, Warehousing Services, Customs Clearance, Freight Forwarding, Transit &amp; Documentation, Storage, Handling &amp; Fulfilment, Value-Added Services) and about thirty recurring service-name tokens (freight, forwarding, customs, clearance, transit, storage, handling, ocean, air, road, delivery, border, bonded, cold, ambient, inbound, dispatch, container, consolidation, cycle count, pick, pack, …), each in the eight fully-translated languages.</w:t>
      </w:r>
    </w:p>
    <w:p>
      <w:pPr>
        <w:pStyle w:val="BodyText"/>
      </w:pPr>
      <w:r>
        <w:t>Write — stored in English only:</w:t>
      </w:r>
    </w:p>
    <w:p>
      <w:pPr>
        <w:pStyle w:val="BodyText"/>
      </w:pPr>
      <w:r>
        <w:t>•  At sign-up the business name and phone number are normalised before storage: the name is mapped to English through the glossary (free-form remainder left to the translation-provider seam, a no-op until a real machine-translation service is configured) and any non-Western numerals a customer typed (for example Arabic-Indic digits in a phone number) are converted to 0-9. On My Account the same is done for the address and phone. The row keeps the source language and the customer's exact original wording (customers.source_language, customers.name_original, customers.address_original — migration 20260829150000_customer_content_originals) so the storefront can show the customer their own words and an administrator still reads the English columns, exactly as delivery addresses and support tickets already work.</w:t>
      </w:r>
    </w:p>
    <w:p>
      <w:pPr>
        <w:pStyle w:val="BodyText"/>
      </w:pPr>
      <w:r>
        <w:t>Verified: signed in as a customer browsing in Swahili, the shop shows "Huduma za Usafirishaji" for Freight Services and "Jinja Tawi" for Jinja Branch, and the Subsidiaries directory names read in Swahili; registering with an Arabic business name and an Arabic-Indic phone number stores "warehouse …" and "+256 701 234 555" in the database with source_language = ar and the original Arabic kept, GET /me returns the original Arabic to that customer and the English column to an English (admin) reader; editing the address in Swahili stores the English form with the Swahili original kept. Backend tsc clean.</w:t>
      </w:r>
    </w:p>
    <w:p>
      <w:pPr>
        <w:pStyle w:val="Heading2"/>
      </w:pPr>
      <w:r>
        <w:t>Impact on this document</w:t>
      </w:r>
    </w:p>
    <w:p>
      <w:pPr>
        <w:pStyle w:val="BodyText"/>
      </w:pPr>
      <w:r>
        <w:t>Process — "register" and "update my profile" gain a normalise-to-English step (name / address / phone) with the source language and original wording retained; read steps localise on the way out.</w:t>
      </w:r>
    </w:p>
    <w:p>
      <w:pPr>
        <w:pStyle w:val="Heading1"/>
      </w:pPr>
      <w:r>
        <w:t>Implementation Status Update 49 (29 August 2026) — OpenAPI / Swagger API Documentation for the Phase 1 Backend</w:t>
      </w:r>
    </w:p>
    <w:p>
      <w:pPr>
        <w:pStyle w:val="BodyText"/>
      </w:pPr>
      <w:r>
        <w:t>09_API Specification, Section 1 described this deliverable as "a build-ready specification, not a finished OpenAPI/Swagger contract" and left the machine-readable contract to the engaged development team. That contract now exists and is generated from the running backend code.</w:t>
      </w:r>
    </w:p>
    <w:p>
      <w:pPr>
        <w:pStyle w:val="BodyText"/>
      </w:pPr>
      <w:r>
        <w:t>What was delivered (backend only — no database change, and no change to any endpoint's behaviour, request shape or response envelope):</w:t>
      </w:r>
    </w:p>
    <w:p>
      <w:pPr>
        <w:pStyle w:val="BodyText"/>
      </w:pPr>
      <w:r>
        <w:t>•  @nestjs/swagger is wired into the NestJS / Fastify backend in src/main.ts, with its CLI plugin enabled in nest-cli.json so request and response schemas are derived automatically from the existing class-validator DTOs. At the time of writing the document covers 245 paths, 309 operations and 116 component schemas.</w:t>
      </w:r>
    </w:p>
    <w:p>
      <w:pPr>
        <w:pStyle w:val="BodyText"/>
      </w:pPr>
      <w:r>
        <w:t>•  Interactive documentation (Swagger UI) is served at GET /api/v1/docs and the raw OpenAPI 3 document at GET /api/v1/docs-json, on the same port as the API (3001 in development). Two bearer security schemes — staff and customer — mirror the two JWT audiences already defined in .env (JWT_ACCESS_SECRET and JWT_CUSTOMER_ACCESS_SECRET); the UI’s Authorize state persists across reloads.</w:t>
      </w:r>
    </w:p>
    <w:p>
      <w:pPr>
        <w:pStyle w:val="BodyText"/>
      </w:pPr>
      <w:r>
        <w:t>•  A snapshot of the document is committed at backend/openapi.json and is refreshed with a new npm script, npm run openapi:generate, which reads /api/v1/docs-json from a running instance. Two dependencies were added: @nestjs/swagger and @fastify/static (the Fastify adapter serves the UI’s static assets through the latter).</w:t>
      </w:r>
    </w:p>
    <w:p>
      <w:pPr>
        <w:pStyle w:val="BodyText"/>
      </w:pPr>
      <w:r>
        <w:t>•  Build note: the @nestjs/swagger CLI plugin runs only through nest build / nest start, not a bare tsc invocation, so the backend is now built with npm run build. In this environment tsconfig.tsbuildinfo must be deleted first or the incremental compiler skips re-emitting.</w:t>
      </w:r>
    </w:p>
    <w:p>
      <w:pPr>
        <w:pStyle w:val="BodyText"/>
      </w:pPr>
      <w:r>
        <w:t>Verified end to end: after npm run build and a restart, GET /api/v1/docs returns the Swagger UI (HTTP 200) and GET /api/v1/docs-json returns a valid OpenAPI 3 document (200); POST /api/v1/identity/auth/login was executed from the UI without a token, and the staff access token it returned authorised a follow-up call to a guarded endpoint.</w:t>
      </w:r>
    </w:p>
    <w:p>
      <w:pPr>
        <w:pStyle w:val="Heading2"/>
      </w:pPr>
      <w:r>
        <w:t>Impact on this document</w:t>
      </w:r>
    </w:p>
    <w:p>
      <w:pPr>
        <w:pStyle w:val="BodyText"/>
      </w:pPr>
      <w:r>
        <w:t>Process — no business process change; the developer / integration workflow gains “consult /api/v1/docs” and “refresh backend/openapi.json via npm run openapi:generate” as steps.</w:t>
      </w:r>
    </w:p>
    <w:p>
      <w:pPr>
        <w:pStyle w:val="Heading1"/>
      </w:pPr>
      <w:r>
        <w:t>Implementation Status Update 50 (29 August 2026) — Corporate Landing Page &amp; Public Holding-Company Mini-Site</w:t>
      </w:r>
    </w:p>
    <w:p>
      <w:pPr>
        <w:pStyle w:val="BodyText"/>
      </w:pPr>
      <w:r>
        <w:t>The Customer Storefront’s pre-login landing page has been redesigned as the public, holding-company face of Morise Holdings, following the reference mockups in screenshots/files(13)/. It is no longer a single marketing page but a small public site rendered before any sign-in.</w:t>
      </w:r>
    </w:p>
    <w:p>
      <w:pPr>
        <w:pStyle w:val="BodyText"/>
      </w:pPr>
      <w:r>
        <w:t>What was delivered:</w:t>
      </w:r>
    </w:p>
    <w:p>
      <w:pPr>
        <w:pStyle w:val="BodyText"/>
      </w:pPr>
      <w:r>
        <w:t>•  A "paper &amp; bronze" visual system (Fraunces display + Inter text + IBM Plex Mono figures) in a new storefront stylesheet (styles/corporate.css), with a shared utility bar / main navigation / footer and the demonstration disclaimer (components/CorporateLayout.jsx).</w:t>
      </w:r>
    </w:p>
    <w:p>
      <w:pPr>
        <w:pStyle w:val="BodyText"/>
      </w:pPr>
      <w:r>
        <w:t>•  Seven public routes, none behind authentication: the landing page (/), Companies directory (/companies), a per-company page (/companies/:id), Profile (/profile), Group Leadership (/governance/board), Group Overview (/investors/overview), News (/investors/news) and Contacts (/contacts).</w:t>
      </w:r>
    </w:p>
    <w:p>
      <w:pPr>
        <w:pStyle w:val="BodyText"/>
      </w:pPr>
      <w:r>
        <w:t>•  One new backend endpoint — GET /api/v1/customer-portal/public/overview — PUBLIC (no customer token), returning only already-public facts: the holding company, its active subsidiaries with branches and ownership, and roll-up group figures (subsidiaries, branches, catalogue items, categories). It honours Accept-Language like the rest of the storefront. No database or schema change; it reuses the existing group-catalogue resolution, generalised to take no customer.</w:t>
      </w:r>
    </w:p>
    <w:p>
      <w:pPr>
        <w:pStyle w:val="BodyText"/>
      </w:pPr>
      <w:r>
        <w:t>•  The Companies grid, per-company pages and Group Overview table are populated live from that endpoint (four wholly-owned subsidiaries, 14 branches, 24 catalogue items at the time of writing); sector labels and one-line descriptions are presentation-only, keyed by subsidiary name with a generic fallback. Group leadership and news items are clearly labelled illustrative demo data.</w:t>
      </w:r>
    </w:p>
    <w:p>
      <w:pPr>
        <w:pStyle w:val="BodyText"/>
      </w:pPr>
      <w:r>
        <w:t>•  A signed-in customer is unaffected: "/" still shows their dashboard; the storefront, catalogue and account screens are unchanged.</w:t>
      </w:r>
    </w:p>
    <w:p>
      <w:pPr>
        <w:pStyle w:val="BodyText"/>
      </w:pPr>
      <w:r>
        <w:t>Verified end to end: signed out, "/" renders the holding-company landing with live group figures; every public route loads without a token; GET /customer-portal/public/overview returns HTTP 200 with the group shape; the storefront production build passes; signing in still lands on the customer dashboard.</w:t>
      </w:r>
    </w:p>
    <w:p>
      <w:pPr>
        <w:pStyle w:val="Heading2"/>
      </w:pPr>
      <w:r>
        <w:t>Impact on this document</w:t>
      </w:r>
    </w:p>
    <w:p>
      <w:pPr>
        <w:pStyle w:val="BodyText"/>
      </w:pPr>
      <w:r>
        <w:t>Process — no business process change. The “browse before you buy / sign in” entry path is formalised: a visitor can traverse the corporate site, then follow “Customer sign in” into the existing order-to-cash flow.</w:t>
      </w:r>
    </w:p>
    <w:p>
      <w:pPr>
        <w:pStyle w:val="Heading1"/>
      </w:pPr>
      <w:r>
        <w:t>Implementation Status Update 51 (29 August 2026) — Corporate Landing Page Restyled to the Storefront Design System</w:t>
      </w:r>
    </w:p>
    <w:p>
      <w:pPr>
        <w:pStyle w:val="BodyText"/>
      </w:pPr>
      <w:r>
        <w:t>The public corporate mini-site added in Update 50 (landing page, Companies directory + per-company pages, Profile, Group Leadership, Group Overview, News, Contacts) has been restyled so it looks like the rest of the Customer Storefront. This is a presentation-only change.</w:t>
      </w:r>
    </w:p>
    <w:p>
      <w:pPr>
        <w:pStyle w:val="BodyText"/>
      </w:pPr>
      <w:r>
        <w:t>What changed:</w:t>
      </w:r>
    </w:p>
    <w:p>
      <w:pPr>
        <w:pStyle w:val="BodyText"/>
      </w:pPr>
      <w:r>
        <w:t>•  The corporate pages now use the SAME visual system as the shop page (mbms/storefront/src/styles/storefront.css): the system-font stack (-apple-system / Segoe UI / Roboto …), the navy (#1E3A5F) / blue (#2E5395) / amber (#D97706) palette, the #F2F5FA page background, white cards with a 10px radius and a hairline #E2E8F0 border, and the .sf-btn-style buttons and font sizes (24px page-head H1, ~20px section headings, 14px body).</w:t>
      </w:r>
    </w:p>
    <w:p>
      <w:pPr>
        <w:pStyle w:val="BodyText"/>
      </w:pPr>
      <w:r>
        <w:t>•  The earlier “paper &amp; bronze” treatment — the imported Fraunces / IBM Plex Mono web fonts, the cream #F2F0EA background and the serif headings from screenshots/files(13)/ — has been dropped. The web-font @import is removed, so the corporate pages now load no external fonts.</w:t>
      </w:r>
    </w:p>
    <w:p>
      <w:pPr>
        <w:pStyle w:val="BodyText"/>
      </w:pPr>
      <w:r>
        <w:t>•  Only mbms/storefront/src/styles/corporate.css changed. The page structure, routes, component files and the GET /api/v1/customer-portal/public/overview endpoint from Update 50 are untouched; the mc-* class names are unchanged. No backend, API, schema or data change.</w:t>
      </w:r>
    </w:p>
    <w:p>
      <w:pPr>
        <w:pStyle w:val="BodyText"/>
      </w:pPr>
      <w:r>
        <w:t>Verified: the storefront production build passes; signed out, the landing page and the six inner corporate pages render in the storefront’s navy / white / amber styling and sit visually alongside /shop; a signed-in customer still lands on the dashboard.</w:t>
      </w:r>
    </w:p>
    <w:p>
      <w:pPr>
        <w:pStyle w:val="Heading2"/>
      </w:pPr>
      <w:r>
        <w:t>Impact on this document</w:t>
      </w:r>
    </w:p>
    <w:p>
      <w:pPr>
        <w:pStyle w:val="BodyText"/>
      </w:pPr>
      <w:r>
        <w:t>Process — no material impact — this update only changes the CSS of the public corporate pages (fonts, colours, radii) to match the storefront. No requirement, interface, data, process or plan item changes.</w:t>
      </w:r>
    </w:p>
    <w:p>
      <w:pPr>
        <w:pStyle w:val="Heading1"/>
      </w:pPr>
      <w:r>
        <w:t>Implementation Status Update 52 (29 August 2026) — Public Content Pages Folded Into the Corporate Site Chrome</w:t>
      </w:r>
    </w:p>
    <w:p>
      <w:pPr>
        <w:pStyle w:val="BodyText"/>
      </w:pPr>
      <w:r>
        <w:t>The public CMS content pages at /page/:slug (About, Terms, Delivery — linked from the corporate site’s utility bar and footer) now render inside the same shell and styling as the rest of the pre-login corporate mini-site (landing, Companies, Group Overview, News, Contacts). Presentation-only.</w:t>
      </w:r>
    </w:p>
    <w:p>
      <w:pPr>
        <w:pStyle w:val="BodyText"/>
      </w:pPr>
      <w:r>
        <w:t>What changed:</w:t>
      </w:r>
    </w:p>
    <w:p>
      <w:pPr>
        <w:pStyle w:val="BodyText"/>
      </w:pPr>
      <w:r>
        <w:t>•  ContentPage (mbms/storefront/src/pages/Page.jsx) now wraps its body in &lt;CorporateLayout&gt; — the shared utility bar, main navigation, footer and demonstration disclaimer — and uses the mc-* classes and the storefront design system (system fonts; navy / white / amber). It previously used a stripped-down header of its own and the earlier landing-page styling.</w:t>
      </w:r>
    </w:p>
    <w:p>
      <w:pPr>
        <w:pStyle w:val="BodyText"/>
      </w:pPr>
      <w:r>
        <w:t>•  One small block of card / article styles was added to mbms/storefront/src/styles/corporate.css (.mc-article). No other file changed.</w:t>
      </w:r>
    </w:p>
    <w:p>
      <w:pPr>
        <w:pStyle w:val="BodyText"/>
      </w:pPr>
      <w:r>
        <w:t>•  No change to the content itself, to the CMS admin screen, or to the endpoint that serves it (GET /api/v1/customer-portal/content/:slug — still public, unchanged). No backend, API, schema or data change.</w:t>
      </w:r>
    </w:p>
    <w:p>
      <w:pPr>
        <w:pStyle w:val="BodyText"/>
      </w:pPr>
      <w:r>
        <w:t>Verified: /page/about and /page/terms render with the corporate utility bar / nav / footer and the storefront’s navy / white / amber styling, matching /, /companies, /investors/overview, /investors/news and /contacts; the storefront production build passes; a signed-in customer still lands on the dashboard.</w:t>
      </w:r>
    </w:p>
    <w:p>
      <w:pPr>
        <w:pStyle w:val="Heading2"/>
      </w:pPr>
      <w:r>
        <w:t>Impact on this document</w:t>
      </w:r>
    </w:p>
    <w:p>
      <w:pPr>
        <w:pStyle w:val="BodyText"/>
      </w:pPr>
      <w:r>
        <w:t>Process — no material impact — this update only changes which shell and CSS the public /page/:slug content pages use, so they match the rest of the corporate site. No requirement, interface, data, process or plan item changes.</w:t>
      </w:r>
    </w:p>
    <w:p>
      <w:pPr>
        <w:pStyle w:val="Heading1"/>
      </w:pPr>
      <w:r>
        <w:t>Implementation Status Update 53 (29 August 2026) — Social Media Channels — Managed in Admin, Shown in the Storefront</w:t>
      </w:r>
    </w:p>
    <w:p>
      <w:pPr>
        <w:pStyle w:val="BodyText"/>
      </w:pPr>
      <w:r>
        <w:t>An administrator can now add the group’s social media channels in Admin » CMS / Site Builder, and they appear in the storefront footer — both the pre-login corporate pages and the signed-in customer pages.</w:t>
      </w:r>
    </w:p>
    <w:p>
      <w:pPr>
        <w:pStyle w:val="BodyText"/>
      </w:pPr>
      <w:r>
        <w:t>What was delivered:</w:t>
      </w:r>
    </w:p>
    <w:p>
      <w:pPr>
        <w:pStyle w:val="BodyText"/>
      </w:pPr>
      <w:r>
        <w:t>•  New table social_links (migration 20260829180000_social_media_links) — platform (enum: facebook, x, instagram, linkedin, youtube, tiktok, whatsapp, telegram, other), optional label, url, sort_order, is_visible, created_by, timestamps. Site-wide, not per-company — the same scope model as content pages.</w:t>
      </w:r>
    </w:p>
    <w:p>
      <w:pPr>
        <w:pStyle w:val="BodyText"/>
      </w:pPr>
      <w:r>
        <w:t>•  Admin API under /api/v1/cms: GET /cms/social-links (needs cms.viewAll or cms.manage), POST /cms/social-links, PATCH /cms/social-links/{id}, DELETE /cms/social-links/{id} (all writes need cms.manage). New service SocialLinksService in the CMS module; every write is audited (cms.social_link.created / updated / deleted, entity_type social_link). No new permission — it reuses cms.manage / cms.viewAll.</w:t>
      </w:r>
    </w:p>
    <w:p>
      <w:pPr>
        <w:pStyle w:val="BodyText"/>
      </w:pPr>
      <w:r>
        <w:t>•  Public API: GET /api/v1/customer-portal/public/social-links — PUBLIC, no token — returns the visible channels in the admin-set order ({ platform, label, url }); honours Accept-Language for the label.</w:t>
      </w:r>
    </w:p>
    <w:p>
      <w:pPr>
        <w:pStyle w:val="BodyText"/>
      </w:pPr>
      <w:r>
        <w:t>•  Admin UI: a “Social media channels” panel on the CMS / Site Builder screen — list with visible/hidden toggle, re-order, remove, and an add row (platform, URL, label). Storefront: the footer of CorporateLayout (corporate pages) and of the signed-in Layout renders a “Follow us” row of channel links; an empty list renders nothing.</w:t>
      </w:r>
    </w:p>
    <w:p>
      <w:pPr>
        <w:pStyle w:val="BodyText"/>
      </w:pPr>
      <w:r>
        <w:t>•  Seed: Facebook, X, LinkedIn and Instagram seeded as visible, a WhatsApp channel seeded hidden, all owned by the Managing Director (fixed ids, idempotent).</w:t>
      </w:r>
    </w:p>
    <w:p>
      <w:pPr>
        <w:pStyle w:val="BodyText"/>
      </w:pPr>
      <w:r>
        <w:t>Verified end to end: signed in as the Managing Director, added and toggled a channel via /cms/social-links; GET /customer-portal/public/social-links immediately reflected the visible set (a hidden channel is excluded, appears the moment it is shown); the storefront and admin production builds pass; OpenAPI now documents the three new paths.</w:t>
      </w:r>
    </w:p>
    <w:p>
      <w:pPr>
        <w:pStyle w:val="Heading2"/>
      </w:pPr>
      <w:r>
        <w:t>Impact on this document</w:t>
      </w:r>
    </w:p>
    <w:p>
      <w:pPr>
        <w:pStyle w:val="BodyText"/>
      </w:pPr>
      <w:r>
        <w:t>Process — the “maintain storefront content” process gains a step: add / order / hide social channels in CMS / Site Builder. No other process changes.</w:t>
      </w:r>
    </w:p>
    <w:p>
      <w:pPr>
        <w:pStyle w:val="Heading1"/>
      </w:pPr>
      <w:r>
        <w:t>Implementation Status Update 54 (29 August 2026) — Landing-page Newsletter Sign-up and FAQ Section</w:t>
      </w:r>
    </w:p>
    <w:p>
      <w:pPr>
        <w:pStyle w:val="BodyText"/>
      </w:pPr>
      <w:r>
        <w:t>The corporate landing page gains a Newsletter sign-up band and an FAQ section. The FAQ items are managed by an administrator in Admin » CMS / Site Builder; newsletter sign-ups are captured from the landing page and listed for administrators there too.</w:t>
      </w:r>
    </w:p>
    <w:p>
      <w:pPr>
        <w:pStyle w:val="BodyText"/>
      </w:pPr>
      <w:r>
        <w:t>What was delivered:</w:t>
      </w:r>
    </w:p>
    <w:p>
      <w:pPr>
        <w:pStyle w:val="BodyText"/>
      </w:pPr>
      <w:r>
        <w:t>•  Two new tables (migration 20260829200000_landing_faq_newsletter). faq_items — question VARCHAR(300), answer TEXT, sort_order, is_visible, created_by, timestamps (site-wide, same scope model as content pages). newsletter_subscribers — email VARCHAR(255) UNIQUE, status (enum NewsletterStatus: subscribed / unsubscribed), source VARCHAR(80), timestamps.</w:t>
      </w:r>
    </w:p>
    <w:p>
      <w:pPr>
        <w:pStyle w:val="BodyText"/>
      </w:pPr>
      <w:r>
        <w:t>•  Admin API on /api/v1/cms (JWT + cms permissions): GET/POST/PATCH/DELETE /cms/faqs (writes need cms.manage; reads cms.viewAll or cms.manage); GET /cms/newsletter-subscribers (read, with total / subscribed / unsubscribed counts) and DELETE /cms/newsletter-subscribers/{id} (cms.manage). No new permission — reuses cms.manage / cms.viewAll. FAQ writes are audited (cms.faq_item.created / updated / deleted); a subscriber delete is audited (cms.newsletter_subscriber.deleted).</w:t>
      </w:r>
    </w:p>
    <w:p>
      <w:pPr>
        <w:pStyle w:val="BodyText"/>
      </w:pPr>
      <w:r>
        <w:t>•  Public API (no token): GET /api/v1/customer-portal/public/faqs — visible items in the admin order, { id, question, answer }, Accept-Language applied. POST /api/v1/customer-portal/public/newsletter { email, source? } — rate-limited (10 / minute / IP, SEC-05 style), idempotent, and non-enumerating (always returns { subscribed: true }; a repeat sign-up or a previously-unsubscribed address is silently re-subscribed).</w:t>
      </w:r>
    </w:p>
    <w:p>
      <w:pPr>
        <w:pStyle w:val="BodyText"/>
      </w:pPr>
      <w:r>
        <w:t>•  Admin UI: a “Landing-page FAQ” panel (inline-edit question / answer, show-hide, re-order, add, remove) and a read-only “Newsletter sign-ups” panel (counts + list + remove) on the CMS / Site Builder screen. Storefront: a NewsletterSection band and an expand/collapse FaqSection on the landing page; the FAQ section is omitted when there are no visible items.</w:t>
      </w:r>
    </w:p>
    <w:p>
      <w:pPr>
        <w:pStyle w:val="BodyText"/>
      </w:pPr>
      <w:r>
        <w:t>•  Seed: five demo FAQ items (four visible, one hidden), owned by the Managing Director (fixed ids, idempotent). No newsletter subscribers seeded.</w:t>
      </w:r>
    </w:p>
    <w:p>
      <w:pPr>
        <w:pStyle w:val="BodyText"/>
      </w:pPr>
      <w:r>
        <w:t>Verified end to end: as the Managing Director, listed and edited FAQ items via /cms/faqs; GET /customer-portal/public/faqs returned only the visible four; POST /customer-portal/public/newsletter accepted a new address (201) and a repeat (still 201), rejected a malformed address (400), and the sign-up appeared in GET /cms/newsletter-subscribers; the storefront and admin production builds pass; OpenAPI now documents the six new paths.</w:t>
      </w:r>
    </w:p>
    <w:p>
      <w:pPr>
        <w:pStyle w:val="Heading2"/>
      </w:pPr>
      <w:r>
        <w:t>Impact on this document</w:t>
      </w:r>
    </w:p>
    <w:p>
      <w:pPr>
        <w:pStyle w:val="BodyText"/>
      </w:pPr>
      <w:r>
        <w:t>Process — “maintain storefront content” gains: curate FAQ items, and review / export newsletter sign-ups, both in CMS / Site Builder. No customer-facing process change beyond an optional sign-up step.</w:t>
      </w:r>
    </w:p>
    <w:p>
      <w:pPr>
        <w:pStyle w:val="Heading1"/>
      </w:pPr>
      <w:r>
        <w:t>Implementation Status Update 55 (30 August 2026) — Content Localisation Completed — Orders &amp; Payments (Read in Chosen Language, Store Input in English)</w:t>
      </w:r>
    </w:p>
    <w:p>
      <w:pPr>
        <w:pStyle w:val="BodyText"/>
      </w:pPr>
      <w:r>
        <w:t>The "read database text in the customer’s language, store the customer’s input in English" behaviour (Updates 32, 33, 39, 48) is now also applied to the two customer-facing areas it had not yet reached — order history and payments — closing the gap so the rule holds across the whole storefront.</w:t>
      </w:r>
    </w:p>
    <w:p>
      <w:pPr>
        <w:pStyle w:val="BodyText"/>
      </w:pPr>
      <w:r>
        <w:t>READ — shown in the chosen language (Accept-Language):</w:t>
      </w:r>
    </w:p>
    <w:p>
      <w:pPr>
        <w:pStyle w:val="BodyText"/>
      </w:pPr>
      <w:r>
        <w:t>•  GET /customer-portal/orders and /orders/{id} now return each line item’s product name, the selling subsidiary name, and the cancellation reason in the customer’s language, as far as the content glossary reaches; digits follow the language’s script. When the customer cancelled the order in the language they are now browsing in, their exact original wording is shown back instead of the translated English. The order-placement confirmation is localised the same way.</w:t>
      </w:r>
    </w:p>
    <w:p>
      <w:pPr>
        <w:pStyle w:val="BodyText"/>
      </w:pPr>
      <w:r>
        <w:t>WRITE — stored in English + 0-9 only:</w:t>
      </w:r>
    </w:p>
    <w:p>
      <w:pPr>
        <w:pStyle w:val="BodyText"/>
      </w:pPr>
      <w:r>
        <w:t>•  An order cancellation reason a customer types is normalised to English before it is stored (glossary + digit-normalise). The row keeps the customer’s exact original and its source language — new columns orders.cancellation_reason_original and orders.cancellation_source_language (migration 20260829210000_order_cancellation_reason_localisation) — the same shape delivery addresses, support tickets and the customer record already use. Staff who cancel an order type English; no original is kept.</w:t>
      </w:r>
    </w:p>
    <w:p>
      <w:pPr>
        <w:pStyle w:val="BodyText"/>
      </w:pPr>
      <w:r>
        <w:t>•  A payment reference (a bank / mobile-money transaction id) has its digits normalised to 0-9 on write, so a reference a customer typed in another numeral script is stored in the form a bank statement uses. It is an identifier, not prose — nothing else about it changes.</w:t>
      </w:r>
    </w:p>
    <w:p>
      <w:pPr>
        <w:pStyle w:val="BodyText"/>
      </w:pPr>
      <w:r>
        <w:t>No new endpoint and no new permission; the existing order routes now honour Accept-Language and the cancel route normalises its input. Staff always read and write English.</w:t>
      </w:r>
    </w:p>
    <w:p>
      <w:pPr>
        <w:pStyle w:val="BodyText"/>
      </w:pPr>
      <w:r>
        <w:t>Verified end to end: browsing in Swahili, order ORD-2026-0011’s line "Bean Seed — 10kg Bag" reads "Maharage Mbegu — 10kg Mfuko"; cancelling an order in Swahili with reason "Ghala" stores cancellation_reason = "Warehouse" with cancellation_reason_original = "Ghala" and cancellation_source_language = "sw" — an English (admin) read shows "Warehouse", the Swahili customer sees "Ghala"; a payment reference "MP٢٤٠٨٢٩.٠٠١" is stored as "MP240829.001". The backend build is clean.</w:t>
      </w:r>
    </w:p>
    <w:p>
      <w:pPr>
        <w:pStyle w:val="Heading2"/>
      </w:pPr>
      <w:r>
        <w:t>Impact on this document</w:t>
      </w:r>
    </w:p>
    <w:p>
      <w:pPr>
        <w:pStyle w:val="BodyText"/>
      </w:pPr>
      <w:r>
        <w:t>Process — “cancel my order” gains the same normalise-to-English step “register” and “update my profile” already have; “make a payment” normalises the reference’s digits. No new process.</w:t>
      </w:r>
    </w:p>
    <w:p>
      <w:pPr>
        <w:pStyle w:val="Heading1"/>
      </w:pPr>
      <w:r>
        <w:t>Implementation Status Update 56 (30 August 2026) — Content Localisation — Final Edges (Dashboard, Account Statement &amp; Exported PDFs, Discount-Code Input)</w:t>
      </w:r>
    </w:p>
    <w:p>
      <w:pPr>
        <w:pStyle w:val="BodyText"/>
      </w:pPr>
      <w:r>
        <w:t>A sweep of every remaining customer-facing read and write path found three edges the "read in the customer’s language / store the customer’s input in English" rule had not yet reached; all three are now closed, so the rule holds everywhere a customer sees text or types it.</w:t>
      </w:r>
    </w:p>
    <w:p>
      <w:pPr>
        <w:pStyle w:val="BodyText"/>
      </w:pPr>
      <w:r>
        <w:t>READ — now shown in the chosen language (Accept-Language):</w:t>
      </w:r>
    </w:p>
    <w:p>
      <w:pPr>
        <w:pStyle w:val="BodyText"/>
      </w:pPr>
      <w:r>
        <w:t>•  GET /customer-portal/dashboard-summary — the Home screen’s "Recent Orders" widget: line-item product names and the selling subsidiary name (it passes the language through to the order projection).</w:t>
      </w:r>
    </w:p>
    <w:p>
      <w:pPr>
        <w:pStyle w:val="BodyText"/>
      </w:pPr>
      <w:r>
        <w:t>•  GET /customer-portal/invoices/statement — each transaction row now carries a typeLabel ("invoice" / "payment") in the customer’s language alongside the machine type.</w:t>
      </w:r>
    </w:p>
    <w:p>
      <w:pPr>
        <w:pStyle w:val="BodyText"/>
      </w:pPr>
      <w:r>
        <w:t>•  GET /customer-portal/invoices/statement/pdf and /invoices/{id}/pdf — the exported Account Statement and Invoice PDFs are labelled in the customer’s language (title, "Balance", the column headers, the row type and the invoice status), with digits transliterated. The storefront now sends Accept-Language on the download too. Known limit: PDFKit’s built-in font renders Latin scripts and 0-9 only, so a non-Latin script (Arabic, CJK, …) still shows those label words in English — font embedding is the follow-up, the same class of seam as free-prose translation.</w:t>
      </w:r>
    </w:p>
    <w:p>
      <w:pPr>
        <w:pStyle w:val="BodyText"/>
      </w:pPr>
      <w:r>
        <w:t>WRITE — matched / stored in English + 0-9:</w:t>
      </w:r>
    </w:p>
    <w:p>
      <w:pPr>
        <w:pStyle w:val="BodyText"/>
      </w:pPr>
      <w:r>
        <w:t>•  A discount code a customer types at checkout or in the validate call is normalised to 0-9 before the look-up (a code entered as "WELCOME١٠" now matches "WELCOME10"), then upper-cased — on both POST /customer-portal/orders and POST /customer-portal/discount-codes/validate.</w:t>
      </w:r>
    </w:p>
    <w:p>
      <w:pPr>
        <w:pStyle w:val="BodyText"/>
      </w:pPr>
      <w:r>
        <w:t>Glossary: added the account-statement / invoice-PDF label vocabulary ("Account Statement", "Balance", "Date", "Type", "Reference", "Amount", "Running Balance", "Order", "Status", "Invoice Number", "Due Date", "Paid At", the row types "invoice"/"payment", and the invoice statuses paid / overdue / due_soon / upcoming) for the eight fully-translated languages.</w:t>
      </w:r>
    </w:p>
    <w:p>
      <w:pPr>
        <w:pStyle w:val="BodyText"/>
      </w:pPr>
      <w:r>
        <w:t>No new endpoint, no new permission, no schema change. Staff always read and write English.</w:t>
      </w:r>
    </w:p>
    <w:p>
      <w:pPr>
        <w:pStyle w:val="BodyText"/>
      </w:pPr>
      <w:r>
        <w:t>Verified end to end: browsing in Swahili, the dashboard’s recent orders read "Maharage Mbegu — 10kg Mfuko"; the statement rows read "ankara" / "malipo"; the statement PDF header reads "Taarifa ya Akaunti … Tarehe / Aina / Kumbukumbu / Kiasi / Salio Linaloendelea" (and "Relevé de compte …" in French); a discount code "WELCOME١٠" is matched as "WELCOME10". Backend build clean; OpenAPI regenerated.</w:t>
      </w:r>
    </w:p>
    <w:p>
      <w:pPr>
        <w:pStyle w:val="Heading2"/>
      </w:pPr>
      <w:r>
        <w:t>Impact on this document</w:t>
      </w:r>
    </w:p>
    <w:p>
      <w:pPr>
        <w:pStyle w:val="BodyText"/>
      </w:pPr>
      <w:r>
        <w:t>Process — “view my dashboard / statement” reads in the chosen language; “apply a discount code” matches it in canonical form. No new process.</w:t>
      </w:r>
    </w:p>
    <w:p>
      <w:pPr>
        <w:pStyle w:val="Heading1"/>
      </w:pPr>
      <w:r>
        <w:t>Implementation Status Update 57 (30 August 2026) — Collateral Management Subsidiary + Multi-Site Collateral Management System Specification (New Doc 21)</w:t>
      </w:r>
    </w:p>
    <w:p>
      <w:pPr>
        <w:pStyle w:val="BodyText"/>
      </w:pPr>
      <w:r>
        <w:t>Using the same subsidiary-lifecycle capability, the Managing Director has set up a third specification-stage subsidiary — Morise Collateral Management Ltd — a wholly-owned collateral management agent (CMA) that monitors physical goods pledged as collateral (commodities, inventory, stored assets) for banks and financiers across many client sites (warehouses, silos, tank farms, yards, cold stores).</w:t>
      </w:r>
    </w:p>
    <w:p>
      <w:pPr>
        <w:pStyle w:val="BodyText"/>
      </w:pPr>
      <w:r>
        <w:t>Delivered — seed data only, no code / schema / permission change:</w:t>
      </w:r>
    </w:p>
    <w:p>
      <w:pPr>
        <w:pStyle w:val="BodyText"/>
      </w:pPr>
      <w:r>
        <w:t>•  Org structure seeded in seed.ts and fully manageable by the Managing Director (view / create / update / delete / activate): the company (a1000000-…-000000000006, wholly-owned, UGX, FY 1 January, registered office Nakasero, Kampala); 6 sites / branches (Kampala Head Office, Jinja Grain Silos, Mbale Warehouse, Masindi Grain Store, Kasese Cold Store, Buikwe Tank Farm); 9 departments (Field Inspection; Site &amp; Warehouse Management; Stock &amp; Collateral Control; Inspection &amp; Audit; Release &amp; Movement Authorization; Client &amp; Lender Relations; Compliance &amp; Risk; Workforce &amp; Rostering; IT &amp; Integrations); and 6 starter policies (GPS &amp; Evidence Integrity; Dual-Control Release Approval; Coverage Threshold Auto-Hold; Offline Field Sync; Multi-Client Stock Segregation; Inspection Frequency by Risk).</w:t>
      </w:r>
    </w:p>
    <w:p>
      <w:pPr>
        <w:pStyle w:val="BodyText"/>
      </w:pPr>
      <w:r>
        <w:t>•  A new numbered document — 21_Multi-Site Collateral Management System — Feature Specification — restates the client-supplied specification (retained in docx/ as Multi-Site-Collateral-Management-System-Feature-Specification.docx) in the house format of docs 19 and 20: ten feature modules (Site &amp; Warehouse Management; Field Inspector Operations / mobile app; Staff &amp; Workforce Management; Stock &amp; Collateral Management; Inspection &amp; Audit Workflow; Release &amp; Movement Authorization; Client / Lender Portal; Alerts &amp; Notifications; Reporting &amp; Compliance; Document Management), plus non-functional requirements, an architecture overview, the integration-points and phased-roadmap tables, user roles, the suggested technology stack, the organisation-as-built section, the relationship to the existing MBMS platform, and approval.</w:t>
      </w:r>
    </w:p>
    <w:p>
      <w:pPr>
        <w:pStyle w:val="BodyText"/>
      </w:pPr>
      <w:r>
        <w:t>•  None of the CMS modules are implemented. The subsidiary appears in the group directory / Group Overview (five subsidiaries now, 20 sites / branches) with no priced catalogue — it is a monitoring and inspection service, not a shop. A storefront presentation entry (sector + blurb) was added for its corporate-site card.</w:t>
      </w:r>
    </w:p>
    <w:p>
      <w:pPr>
        <w:pStyle w:val="BodyText"/>
      </w:pPr>
      <w:r>
        <w:t>Verified: after re-seed, GET /customer-portal/public/overview lists Morise Collateral Management Ltd with 6 branches and 0 products; the database holds the company, 6 branches, 9 departments and 6 policies under it; no migration ran (schema unchanged).</w:t>
      </w:r>
    </w:p>
    <w:p>
      <w:pPr>
        <w:pStyle w:val="Heading2"/>
      </w:pPr>
      <w:r>
        <w:t>Impact on this document</w:t>
      </w:r>
    </w:p>
    <w:p>
      <w:pPr>
        <w:pStyle w:val="BodyText"/>
      </w:pPr>
      <w:r>
        <w:t>Process — no business process change in MBMS. The CMA's own field-inspection, chain-of-custody and release-authorisation processes are described in doc 21 for a future phase.</w:t>
      </w:r>
    </w:p>
    <w:p>
      <w:pPr>
        <w:pStyle w:val="Heading1"/>
      </w:pPr>
      <w:r>
        <w:t>Implementation Status Update 58 (30 August 2026) — Full-page Demonstration-Disclaimer Gate (10-second Hold) + Admin-Managed Disclaimer Statements</w:t>
      </w:r>
    </w:p>
    <w:p>
      <w:pPr>
        <w:pStyle w:val="BodyText"/>
      </w:pPr>
      <w:r>
        <w:t>The demonstration disclaimer that used to appear as a dismissible modal over the corporate landing page is now a full-page gate a signed-out visitor must pass through first: the disclaimer is shown for a hold period (10 seconds by default, set server-side) with a live countdown on the button, then an "I Understand, Continue" button becomes active and the landing page appears. The acknowledgement is remembered per browser, so a return visitor goes straight to the landing page.</w:t>
      </w:r>
    </w:p>
    <w:p>
      <w:pPr>
        <w:pStyle w:val="BodyText"/>
      </w:pPr>
      <w:r>
        <w:t>The disclaimer text is now managed by admin staff, not hard-coded:</w:t>
      </w:r>
    </w:p>
    <w:p>
      <w:pPr>
        <w:pStyle w:val="BodyText"/>
      </w:pPr>
      <w:r>
        <w:t>•  New table disclaimer_items (migration 20260830130000_site_disclaimer) — body (text), sort_order, is_visible, created_by, timestamps. Site-wide, the same scope model as faq_items / social_links.</w:t>
      </w:r>
    </w:p>
    <w:p>
      <w:pPr>
        <w:pStyle w:val="BodyText"/>
      </w:pPr>
      <w:r>
        <w:t>•  Admin API on /api/v1/cms (JWT + cms permissions): GET / POST / PATCH / DELETE /cms/disclaimer-items — writes need cms.manage, reads cms.viewAll or cms.manage. No new permission. Every write is audited (cms.disclaimer_item.created / updated / deleted).</w:t>
      </w:r>
    </w:p>
    <w:p>
      <w:pPr>
        <w:pStyle w:val="BodyText"/>
      </w:pPr>
      <w:r>
        <w:t>•  Public API (no token): GET /api/v1/customer-portal/public/disclaimer → { holdSeconds, items: [{ id, body }] } — visible statements in the admin-set order, Accept-Language applied to the text, and the hold period the gate counts down.</w:t>
      </w:r>
    </w:p>
    <w:p>
      <w:pPr>
        <w:pStyle w:val="BodyText"/>
      </w:pPr>
      <w:r>
        <w:t>•  Admin UI: a "Site disclaimer" panel on the CMS / Site Builder screen (inline-edit statement, show / hide, re-order, add, remove). Storefront: a new full-page DisclaimerGate component gates "/" for a signed-out, un-acknowledged visitor; the deep-link corporate marketing routes redirect back through it. The old CorporateLayout modal remains only as a "Read disclaimer" re-opener, now fed by the same admin statements.</w:t>
      </w:r>
    </w:p>
    <w:p>
      <w:pPr>
        <w:pStyle w:val="BodyText"/>
      </w:pPr>
      <w:r>
        <w:t>•  Seed: five demonstration statements (proof-of-concept build; demo data; simulated payments; do not enter real information; access is issued by Morise Holdings), owned by the Managing Director (fixed ids, idempotent).</w:t>
      </w:r>
    </w:p>
    <w:p>
      <w:pPr>
        <w:pStyle w:val="BodyText"/>
      </w:pPr>
      <w:r>
        <w:t>Verified end to end: signed out, "/" shows the disclaimer gate with the five seeded statements and a disabled button counting down from 10; after the countdown the button activates and continuing shows the landing page; a reload goes straight to the landing page. As the Managing Director, adding a statement via /cms/disclaimer-items made it appear immediately in GET /customer-portal/public/disclaimer. Storefront and admin production builds pass; OpenAPI documents the three new paths.</w:t>
      </w:r>
    </w:p>
    <w:p>
      <w:pPr>
        <w:pStyle w:val="Heading2"/>
      </w:pPr>
      <w:r>
        <w:t>Impact on this document</w:t>
      </w:r>
    </w:p>
    <w:p>
      <w:pPr>
        <w:pStyle w:val="BodyText"/>
      </w:pPr>
      <w:r>
        <w:t>Process — the “first visit” path gains an explicit disclaimer-acknowledgement step; “maintain storefront content” gains “edit the disclaimer statements” in CMS / Site Builder.</w:t>
      </w:r>
    </w:p>
    <w:p>
      <w:pPr>
        <w:pStyle w:val="Heading1"/>
      </w:pPr>
      <w:r>
        <w:t>Implementation Status Update 59 (30 August 2026) — Disclaimer Gate &amp; Corporate Landing Pages Localised into the Chosen Language</w:t>
      </w:r>
    </w:p>
    <w:p>
      <w:pPr>
        <w:pStyle w:val="BodyText"/>
      </w:pPr>
      <w:r>
        <w:t>The pre-login corporate surface — the full-page disclaimer gate, the landing page and the rest of the corporate mini-site (Companies, Profile, Group Leadership, Group Overview, News, Contacts, footer) — now renders in the language the visitor chooses, not only in English.</w:t>
      </w:r>
    </w:p>
    <w:p>
      <w:pPr>
        <w:pStyle w:val="BodyText"/>
      </w:pPr>
      <w:r>
        <w:t>What was delivered (front-end + glossary; no schema, endpoint or permission change):</w:t>
      </w:r>
    </w:p>
    <w:p>
      <w:pPr>
        <w:pStyle w:val="BodyText"/>
      </w:pPr>
      <w:r>
        <w:t>•  The 144 corporate / disclaimer / landing UI strings (previously English-only) are translated into the eight fully-supported languages — Swahili, Luganda, French, Spanish, Portuguese, German, Italian and Arabic — in locales/eu.js and locales/regional.js, so choosing one of those changes the whole pre-login surface, headings, labels, buttons and the disclaimer-gate countdown ("Please read — continue in Ns") included.</w:t>
      </w:r>
    </w:p>
    <w:p>
      <w:pPr>
        <w:pStyle w:val="BodyText"/>
      </w:pPr>
      <w:r>
        <w:t>•  The five seeded disclaimer statements are added to the content-translation glossary (content-glossary.ts) for the same eight languages, so GET /customer-portal/public/disclaimer returns them in the chosen language (Accept-Language), the same way the seeded CMS content-page bodies already do. An admin-added statement beyond the seeded five falls through untranslated until a real machine-translation provider is wired in — the documented glossary limit.</w:t>
      </w:r>
    </w:p>
    <w:p>
      <w:pPr>
        <w:pStyle w:val="BodyText"/>
      </w:pPr>
      <w:r>
        <w:t>•  First-visit language detection: with no stored choice, the storefront now honours an explicit ?lang=&lt;code&gt; on the URL (persisted), then the browser’s own preferred languages (navigator.languages), before falling back to English — so a Swahili, French or Arabic browser lands on its own language on the gate and landing page. The language picker on the gate still overrides and remembers the visitor’s explicit choice.</w:t>
      </w:r>
    </w:p>
    <w:p>
      <w:pPr>
        <w:pStyle w:val="BodyText"/>
      </w:pPr>
      <w:r>
        <w:t>•  Right-to-left safety net for Arabic: a small [dir="rtl"] block in corporate.css fixes the physically-placed bits (the gate’s list alignment, the overview table’s right-aligned figures, the FAQ question row, the two-column detail grids); the browser mirrors the rest from document.dir.</w:t>
      </w:r>
    </w:p>
    <w:p>
      <w:pPr>
        <w:pStyle w:val="BodyText"/>
      </w:pPr>
      <w:r>
        <w:t>Verified: the disclaimer gate opened at /?lang=sw, /?lang=fr and /?lang=ar renders its heading, the five statements, the countdown button, the hint line and the "Customer sign in" link entirely in that language, with the Arabic layout mirrored right-to-left; GET /customer-portal/public/disclaimer with Accept-Language: sw / fr / ar returns the statements translated. Storefront and admin production builds pass.</w:t>
      </w:r>
    </w:p>
    <w:p>
      <w:pPr>
        <w:pStyle w:val="Heading2"/>
      </w:pPr>
      <w:r>
        <w:t>Impact on this document</w:t>
      </w:r>
    </w:p>
    <w:p>
      <w:pPr>
        <w:pStyle w:val="BodyText"/>
      </w:pPr>
      <w:r>
        <w:t>Process — no process change. “First visit” now begins in the visitor’s language where the browser or link indicates one.</w:t>
      </w:r>
    </w:p>
    <w:p>
      <w:pPr>
        <w:pStyle w:val="Heading1"/>
      </w:pPr>
      <w:r>
        <w:t>Implementation Status Update 60 (30 August 2026) — Morise Collateral Management Ltd — Priced Services Catalogue Added to the Group Storefront</w:t>
      </w:r>
    </w:p>
    <w:p>
      <w:pPr>
        <w:pStyle w:val="BodyText"/>
      </w:pPr>
      <w:r>
        <w:t>Update 57 seeded Morise Collateral Management Ltd as an org structure only, with no storefront catalogue. It now has a priced service catalogue in the group storefront, drawn from the client-supplied reference catalogue “Services Offered by Collateral Management Companies” (retained in docx/ as Collateral-Management-Company-Services-Catalog.docx).</w:t>
      </w:r>
    </w:p>
    <w:p>
      <w:pPr>
        <w:pStyle w:val="BodyText"/>
      </w:pPr>
      <w:r>
        <w:t>What was delivered (seed data only — no code, schema or permission change; the group-storefront engine already supports any number of sellers):</w:t>
      </w:r>
    </w:p>
    <w:p>
      <w:pPr>
        <w:pStyle w:val="BodyText"/>
      </w:pPr>
      <w:r>
        <w:t>•  Ten priced services (CMC-5001–CMC-5010) across five storefront categories — Custody &amp; Control, Inspection &amp; Verification, Stock &amp; Movement Control, Risk &amp; Valuation, and Reporting &amp; Compliance — seeded onto the subsidiary’s six sites: Collateral Management Agreement (CMA) setup &amp; onboarding; Field Warehousing Control; Stock Inspection Visit (quantity, quality &amp; sampling); Weighbridge &amp; Tank / Silo Gauging; Stock Reconciliation &amp; Variance Report; Dual-Control Release Authorization; Collateral Valuation &amp; Coverage-Ratio Monitoring; Daily Stock-Position Reporting &amp; Lender Portal Access; Warehouse Receipt Issuance; and Facility / Site Accreditation Assessment. UGX pricing, per-service unit of measure, category and branch attribution.</w:t>
      </w:r>
    </w:p>
    <w:p>
      <w:pPr>
        <w:pStyle w:val="BodyText"/>
      </w:pPr>
      <w:r>
        <w:t>•  The subsidiary is given the same six-account starter chart (Cash and Bank, Accounts Receivable, Accounts Payable, Retained Earnings, Service Revenue, Cost of Services) and an open FY2026-Q1 period via ensureStorefrontBooks(), so its storefront orders invoice and GL-post in its own books — exactly as Update 47 did for Clearing &amp; Forwarding and Warehouse Management.</w:t>
      </w:r>
    </w:p>
    <w:p>
      <w:pPr>
        <w:pStyle w:val="BodyText"/>
      </w:pPr>
      <w:r>
        <w:t>•  The five catalogue category names and the recurring service-name tokens (collateral, custody, control, inspection, valuation, coverage, reconciliation, release, authorization, receipt, reporting, compliance, gauging, accreditation, facility, agreement, weighbridge, silo, tank, lender, portal, …) are added to the content-translation glossary for the eight fully-supported languages, so the rows render in the customer’s chosen language as far as the glossary reaches (proper nouns and the residual prose pass through, the documented limit).</w:t>
      </w:r>
    </w:p>
    <w:p>
      <w:pPr>
        <w:pStyle w:val="BodyText"/>
      </w:pPr>
      <w:r>
        <w:t>•  docx/21 gains an addendum — “Services Catalogue Seeded into the Storefront” — restating the reference catalogue’s nine categories, the physical-vs-financial comparison table, and the ten seeded services with their sites and prices. The Multi-Site Collateral Management System itself (docx/21 Sections 2–11) stays a future-phase backlog; only the priced catalogue is live.</w:t>
      </w:r>
    </w:p>
    <w:p>
      <w:pPr>
        <w:pStyle w:val="BodyText"/>
      </w:pPr>
      <w:r>
        <w:t>Verified end to end: after re-seed, GET /customer-portal/public/overview lists Morise Collateral Management Ltd with 6 sites and 10 products (group figures now 34 products across 18 categories); GET /customer-portal/catalog/products?companyId=…006 returns the ten services, priced and branch-tagged, and localised into Swahili / French on Accept-Language. No migration ran.</w:t>
      </w:r>
    </w:p>
    <w:p>
      <w:pPr>
        <w:pStyle w:val="Heading2"/>
      </w:pPr>
      <w:r>
        <w:t>Impact on this document</w:t>
      </w:r>
    </w:p>
    <w:p>
      <w:pPr>
        <w:pStyle w:val="BodyText"/>
      </w:pPr>
      <w:r>
        <w:t>Process — no process change. The order-to-cash flow already derives the selling subsidiary per line; Morise Collateral Management Ltd is simply another possible seller.</w:t>
      </w:r>
    </w:p>
    <w:p>
      <w:pPr>
        <w:pStyle w:val="Heading1"/>
      </w:pPr>
      <w:r>
        <w:t>Implementation Status Update 61 (30 August 2026) — Managing Director — Full Operational Authority Across Every Admin Category</w:t>
      </w:r>
    </w:p>
    <w:p>
      <w:pPr>
        <w:pStyle w:val="BodyText"/>
      </w:pPr>
      <w:r>
        <w:t>The Managing Director asked to be able to operate — view, create, edit, approve and execute — on every section of the four Admin categories (ADMIN / BACKEND, HUMAN RESOURCES, MY HR and FINANCIAL &amp; ACCOUNTING), not only to hold group-wide view. The role now carries the complete permission set, and the admin screens honour it.</w:t>
      </w:r>
    </w:p>
    <w:p>
      <w:pPr>
        <w:pStyle w:val="BodyText"/>
      </w:pPr>
      <w:r>
        <w:t>What changed (seed data + front-end gating; no schema, endpoint or migration):</w:t>
      </w:r>
    </w:p>
    <w:p>
      <w:pPr>
        <w:pStyle w:val="BodyText"/>
      </w:pPr>
      <w:r>
        <w:t>•  The Managing Director role in seed.ts (ROLE_PERMISSIONS['Managing Director']) is expanded from a mostly-view set to the full permission catalogue — all 53 codes, the same breadth as Super Administrator, plus identity.user.delegate as the top grantor of the delegated-administration model. It gains the manage / approve codes it previously lacked: employee.manage, employee.view.sensitive, accounting.manage, customer.manage, supplier.manage, supplier.view.sensitive, product.manage, asset.manage, recruitment.manage, attendance.manage, leave.manage, leave.approve, performance.manage, payroll.manage, sales.order.manage, support.ticket.manage, ap.manage, expense.approve.manager and expense.approve.finance. MY HR needs no permission (it is scoped by the signed-in user's employee record).</w:t>
      </w:r>
    </w:p>
    <w:p>
      <w:pPr>
        <w:pStyle w:val="BodyText"/>
      </w:pPr>
      <w:r>
        <w:t>•  Sixteen admin pages whose in-screen “manage / approve / create” controls were gated by a hard-coded role list — Accounting, Accounts Payable, Assets, Attendance, Customers, Employees, Expenses, Inter-Company, Leave, Order Management, Performance, Product Manager, Projects, Recruitment, Suppliers and Support Tickets — now also accept the matching permission code (hasRole(…) OR hasPermission('…')). This unlocks every control for the Managing Director and, more generally, for any role or user granted that permission through delegated administration; the newer screens (CMS, Departments, Inventory, Marketing, Payroll, Shift Scheduling) already worked this way.</w:t>
      </w:r>
    </w:p>
    <w:p>
      <w:pPr>
        <w:pStyle w:val="BodyText"/>
      </w:pPr>
      <w:r>
        <w:t>•  No new permission code and no change to how the API enforces each route — the backend already checked these codes; only the seeded grants and the front-end control visibility changed.</w:t>
      </w:r>
    </w:p>
    <w:p>
      <w:pPr>
        <w:pStyle w:val="BodyText"/>
      </w:pPr>
      <w:r>
        <w:t>Verified end to end: signed in as the Managing Director, GET /identity/auth/me returns all 53 permission codes; a read in every section of all four categories returns 200 with no 403; write (manage) calls — POST /suppliers, /customers, /products, /accounting/accounts, /assets, /attendance/shifts, /recruitment/vacancies, /payroll/runs, /shift-scheduling/entries, /employees — are accepted or fail only on payload validation (VALIDATION_ERROR), never on permission. Front-end build passes; OpenAPI unchanged.</w:t>
      </w:r>
    </w:p>
    <w:p>
      <w:pPr>
        <w:pStyle w:val="Heading2"/>
      </w:pPr>
      <w:r>
        <w:t>Impact on this document</w:t>
      </w:r>
    </w:p>
    <w:p>
      <w:pPr>
        <w:pStyle w:val="BodyText"/>
      </w:pPr>
      <w:r>
        <w:t>Process — no process change. The Managing Director may now be the actor on any admin step (create, edit, approve, execute) as well as the approver of record.</w:t>
      </w:r>
    </w:p>
    <w:p>
      <w:pPr>
        <w:pStyle w:val="Heading1"/>
      </w:pPr>
      <w:r>
        <w:t>Implementation Status Update 62 (31 August 2026) — Morise Brand Mark — Professional Logo Across Both Apps</w:t>
      </w:r>
    </w:p>
    <w:p>
      <w:pPr>
        <w:pStyle w:val="BodyText"/>
      </w:pPr>
      <w:r>
        <w:t>The Managing Director asked for a proper, professional Morise logo to replace the plain letter “M” placeholder that stood in for a brand mark in both the staff Admin app and the Customer Storefront.</w:t>
      </w:r>
    </w:p>
    <w:p>
      <w:pPr>
        <w:pStyle w:val="BodyText"/>
      </w:pPr>
      <w:r>
        <w:t>The mark: a geometric monoline “M” that also reads as an upward growth line and as a route between points — the group moves inputs, fuel, freight and value across sites — with an amber diamond resting on its apex, standing for the holding company as the connecting keystone of its subsidiaries. Colours are the existing brand tokens: Morise Navy #1E3A5F, Morise Amber #D97706, white. The “M” is a single continuous stroke with round caps and joins so it stays crisp from a 16px favicon upward.</w:t>
      </w:r>
    </w:p>
    <w:p>
      <w:pPr>
        <w:pStyle w:val="BodyText"/>
      </w:pPr>
      <w:r>
        <w:t>What changed (front-end assets + a shared component; no backend, schema, endpoint or migration):</w:t>
      </w:r>
    </w:p>
    <w:p>
      <w:pPr>
        <w:pStyle w:val="BodyText"/>
      </w:pPr>
      <w:r>
        <w:t>•  New brand/ folder at the repository root: morise-logo.svg (primary lockup — navy tile mark + MORISE wordmark + HOLDINGS LIMITED subtitle), morise-logomark.svg (navy app-tile), morise-logomark-light.svg (white “M”, transparent) and morise-logomark-dark.svg (navy “M”, transparent), plus brand/README.md — a one-page brand sheet (concept, colour values, clear-space, minimum sizes, do / don’t, file inventory).</w:t>
      </w:r>
    </w:p>
    <w:p>
      <w:pPr>
        <w:pStyle w:val="BodyText"/>
      </w:pPr>
      <w:r>
        <w:t>•  One shared React component, src/components/Logo.jsx, added identically to mbms/frontend and mbms/storefront. The “M” stroke uses currentColor, so a &lt;Logo/&gt; dropped into an existing badge inherits navy-on-white or white-on-navy from that badge automatically; the apex diamond is always amber. Props: size, tile (standalone navy tile) and tone (stroke override).</w:t>
      </w:r>
    </w:p>
    <w:p>
      <w:pPr>
        <w:pStyle w:val="BodyText"/>
      </w:pPr>
      <w:r>
        <w:t>•  Every “M” placeholder now renders &lt;Logo/&gt;: the Admin top bar and the Admin login card; the Storefront shop header, the corporate mini-site nav, the full-page disclaimer gate, and the four customer auth screens (sign in, register, forgot / reset password). Both index.html files gained an inline SVG data-URI favicon of the navy tile mark.</w:t>
      </w:r>
    </w:p>
    <w:p>
      <w:pPr>
        <w:pStyle w:val="BodyText"/>
      </w:pPr>
      <w:r>
        <w:t>Verified: production build of both React apps passes (vite build, 73 modules each, no new warnings); headless screenshots of the Admin login and the Storefront disclaimer gate show the new mark rendering correctly on navy and on white. No API surface change — OpenAPI unchanged.</w:t>
      </w:r>
    </w:p>
    <w:p>
      <w:pPr>
        <w:pStyle w:val="Heading2"/>
      </w:pPr>
      <w:r>
        <w:t>Impact on this document</w:t>
      </w:r>
    </w:p>
    <w:p>
      <w:pPr>
        <w:pStyle w:val="BodyText"/>
      </w:pPr>
      <w:r>
        <w:t>Process — no material impact — this update only adds brand SVG assets, a brand sheet and a shared Logo component, and swaps the letter-“M” placeholders in both React apps for it. No backend, permission, endpoint, schema or migration change.</w:t>
      </w:r>
    </w:p>
    <w:p>
      <w:pPr>
        <w:pStyle w:val="Heading1"/>
      </w:pPr>
      <w:r>
        <w:t>Implementation Status Update 63 (31 August 2026) — Morise Banner Family — Professional Banner Set Across Both Apps</w:t>
      </w:r>
    </w:p>
    <w:p>
      <w:pPr>
        <w:pStyle w:val="BodyText"/>
      </w:pPr>
      <w:r>
        <w:t>Following the new Morise logo, the Managing Director asked for a full set of professional banners for Morise. A coherent banner family was designed on the same brand language (navy #1E3A5F / amber #D97706, the monoline logomark as a watermark, an amber keystone diamond, and a thin “route” line through nodes for “every input, every mile, every store”).</w:t>
      </w:r>
    </w:p>
    <w:p>
      <w:pPr>
        <w:pStyle w:val="BodyText"/>
      </w:pPr>
      <w:r>
        <w:t>What was produced — SVG assets in a new brand/banners/ folder at the repository root, plus a one-page section in brand/README.md:</w:t>
      </w:r>
    </w:p>
    <w:p>
      <w:pPr>
        <w:pStyle w:val="BodyText"/>
      </w:pPr>
      <w:r>
        <w:t>•  group-hero.svg (1600×520, text baked) and group-hero-bg.svg (texture only, for use behind live page copy); page-header-bg.svg (1600×200) for interior page heads; social-card.svg (1200×630) for Open Graph / social sharing; email-header.svg (1200×280) for newsletters; promo-strip.svg (1600×200) for the storefront promotional strip; announcement-ribbon.svg (1600×56, “Demonstration build — not for production use”); auth-side.svg (960×1200) for the sign-in screens; and one banner per subsidiary — subsidiary-agro / -logistics / -clearing-forwarding / -warehouse / -collateral (1600×420 each), same navy ground and amber diamond with a single sector-accent hue on the route line.</w:t>
      </w:r>
    </w:p>
    <w:p>
      <w:pPr>
        <w:pStyle w:val="BodyText"/>
      </w:pPr>
      <w:r>
        <w:t>•  Every SVG is standalone — no external fonts (a system sans stack in &lt;text&gt;), no external refs — so each works as a file, an &lt;img&gt;, or a CSS background.</w:t>
      </w:r>
    </w:p>
    <w:p>
      <w:pPr>
        <w:pStyle w:val="BodyText"/>
      </w:pPr>
      <w:r>
        <w:t>Wired into the apps (front-end assets + a little CSS; no backend, schema, endpoint or migration): the banner SVGs are copied into mbms/frontend/public/brand/banners/ and mbms/storefront/public/brand/banners/; the storefront hero (.sf-hero) and the corporate mini-site hero (.mc-hero) now layer group-hero-bg.svg over their existing navy→blue gradient (the gradient stays as a graceful fallback); both index.html files gained Open Graph / Twitter-card meta tags pointing at social-card.svg.</w:t>
      </w:r>
    </w:p>
    <w:p>
      <w:pPr>
        <w:pStyle w:val="BodyText"/>
      </w:pPr>
      <w:r>
        <w:t>Seed data (seed-only, idempotent guards): the storefront promotional banner rail for the demo customer’s company (Morise Agro Ltd) is now a curated set of three — “Season stock-up”, “One storefront for the whole group” and “Bulk fuel and haulage, booked online” — each rendered by the existing text-only PromoBanner model that the storefront home already consumes.</w:t>
      </w:r>
    </w:p>
    <w:p>
      <w:pPr>
        <w:pStyle w:val="BodyText"/>
      </w:pPr>
      <w:r>
        <w:t>Verified: both React apps build (vite build, no new warnings); the backend seed type-checks; the banner assets serve at /brand/banners/… on both dev servers; a headless render of group-hero.svg and a contact sheet of the full set confirm the banners are correct on navy and on white. OpenAPI unchanged.</w:t>
      </w:r>
    </w:p>
    <w:p>
      <w:pPr>
        <w:pStyle w:val="Heading2"/>
      </w:pPr>
      <w:r>
        <w:t>Impact on this document</w:t>
      </w:r>
    </w:p>
    <w:p>
      <w:pPr>
        <w:pStyle w:val="BodyText"/>
      </w:pPr>
      <w:r>
        <w:t>Process — no material impact — this update only adds SVG banner assets under brand/banners/, layers a hero background image in two CSS rules, adds Open Graph meta tags, and curates three text-only storefront promo banners in seed data. No backend, permission, endpoint, schema or migration change.</w:t>
      </w:r>
    </w:p>
    <w:p>
      <w:pPr>
        <w:pStyle w:val="Heading1"/>
      </w:pPr>
      <w:r>
        <w:t>Implementation Status Update 64 (31 August 2026) — Brand Banners Displayed Across the Customer Storefront</w:t>
      </w:r>
    </w:p>
    <w:p>
      <w:pPr>
        <w:pStyle w:val="BodyText"/>
      </w:pPr>
      <w:r>
        <w:t>The Managing Director asked that the Morise banners actually be displayed on the customer storefront, not only exist as brand assets. The banner family from brand/banners/ is now shown on every relevant storefront surface.</w:t>
      </w:r>
    </w:p>
    <w:p>
      <w:pPr>
        <w:pStyle w:val="BodyText"/>
      </w:pPr>
      <w:r>
        <w:t>What changed (storefront front-end only; no backend, schema, endpoint, permission or migration):</w:t>
      </w:r>
    </w:p>
    <w:p>
      <w:pPr>
        <w:pStyle w:val="BodyText"/>
      </w:pPr>
      <w:r>
        <w:t>•  A small helper in mbms/storefront/src/lib/corporate.js — bannerFor(name) maps a subsidiary to its /brand/banners/subsidiary-*.svg (group hero as the fallback), plus GROUP_HERO_BANNER and PROMO_STRIP_BANNER constants.</w:t>
      </w:r>
    </w:p>
    <w:p>
      <w:pPr>
        <w:pStyle w:val="BodyText"/>
      </w:pPr>
      <w:r>
        <w:t>•  Public holding-company site: the Companies grid on the landing page (corporate/Home.jsx) and the Companies directory (corporate/Companies.jsx) now render each card's picture as that subsidiary's banner instead of an empty grey placeholder; the single portfolio-company page (corporate/CompanyDetail.jsx) shows the subsidiary banner as its photo strip.</w:t>
      </w:r>
    </w:p>
    <w:p>
      <w:pPr>
        <w:pStyle w:val="BodyText"/>
      </w:pPr>
      <w:r>
        <w:t>•  Signed-in storefront: the subsidiary directory (Subsidiaries.jsx) shows the group hero banner at the top and each subsidiary's own banner on its card; the shop (Shop.jsx) shows the “One storefront for the whole group” promo strip, and swaps it for the selected subsidiary's banner when the company filter is set.</w:t>
      </w:r>
    </w:p>
    <w:p>
      <w:pPr>
        <w:pStyle w:val="BodyText"/>
      </w:pPr>
      <w:r>
        <w:t>•  CSS: img rules for .mc-co-photo and .mc-photo-strip (object-fit cover, left-anchored) and new .sf-hero-banner / .sf-shop-banner / .sf-sub-banner classes in storefront.css and corporate.css. The earlier .sf-hero / .mc-hero background-image treatment is unchanged.</w:t>
      </w:r>
    </w:p>
    <w:p>
      <w:pPr>
        <w:pStyle w:val="BodyText"/>
      </w:pPr>
      <w:r>
        <w:t>The admin-managed text PromoBanner rail on the signed-in home was already displayed and is unchanged (three curated rows since the previous update). No API surface change — OpenAPI unchanged.</w:t>
      </w:r>
    </w:p>
    <w:p>
      <w:pPr>
        <w:pStyle w:val="BodyText"/>
      </w:pPr>
      <w:r>
        <w:t>Verified: the storefront builds (vite build, no new warnings); the admin build is unaffected; headless screenshots of the landing Companies grid, the Companies directory, the subsidiary directory and the shop show the banners rendering correctly (per-subsidiary accent hues, left-anchored crop, group hero and promo strip in place).</w:t>
      </w:r>
    </w:p>
    <w:p>
      <w:pPr>
        <w:pStyle w:val="Heading2"/>
      </w:pPr>
      <w:r>
        <w:t>Impact on this document</w:t>
      </w:r>
    </w:p>
    <w:p>
      <w:pPr>
        <w:pStyle w:val="BodyText"/>
      </w:pPr>
      <w:r>
        <w:t>Process — no material impact — this update only displays the existing brand/banners/ SVGs on storefront pages that previously showed empty placeholders or a plain gradient. Storefront front-end only; no backend, permission, endpoint, schema or migration change.</w:t>
      </w:r>
    </w:p>
    <w:p>
      <w:pPr>
        <w:pStyle w:val="Heading1"/>
      </w:pPr>
      <w:r>
        <w:t>Implementation Status Update 65 (31 August 2026) — Delivery Management System for Morise Logistics Ltd — Specification (New Doc 22) + Phase 1 Back End</w:t>
      </w:r>
    </w:p>
    <w:p>
      <w:pPr>
        <w:pStyle w:val="BodyText"/>
      </w:pPr>
      <w:r>
        <w:t>As an administrator, the Managing Director asked for the concept of delivery to be added to the subsidiary Morise Logistics Ltd — a delivery capability that takes goods, services and invoices to customers who have placed orders through the group Customer Storefront, carrying each order from “ready for delivery” through dispatch and transit to a recorded proof of delivery. The delivery software's functional and technical scope has been captured as a new companion specification, docx/22_Delivery Management System — Feature Specification, restating the client-supplied Delivery-Software-Feature-Specification.docx in the same house format as docs 19, 20 and 21.</w:t>
      </w:r>
    </w:p>
    <w:p>
      <w:pPr>
        <w:pStyle w:val="BodyText"/>
      </w:pPr>
      <w:r>
        <w:t>The specification describes the full target platform (ten feature modules — customer delivery experience; driver / courier app; dispatch &amp; operations console; route optimisation; proof of delivery &amp; exceptions; document &amp; invoice delivery; pricing, zones &amp; fees; fleet &amp; driver management; notifications; reporting — plus architecture, roles and a roadmap). A Phase 1 back end covering the core of that workflow is already implemented in MBMS: Prisma migration 20260831120000_delivery (tables deliveries, delivery_drivers, delivery_events; status / kind / proof enums), a src/delivery/ NestJS module wired into AppModule, a staff API at /api/v1/delivery (list / create / assign driver / advance status / capture proof / fail / cancel, dispatch metrics, an eligible-orders queue, and driver CRUD) and a customer tracking read at GET /api/v1/customer-portal/orders/:id/delivery — every endpoint scope-checked and every mutation audited. Completing a goods delivery advances its order to “delivered”.</w:t>
      </w:r>
    </w:p>
    <w:p>
      <w:pPr>
        <w:pStyle w:val="BodyText"/>
      </w:pPr>
      <w:r>
        <w:t>The capability is not yet wired for use: the delivery.manage and delivery.viewAll permission codes are not in the seed permission catalogue and no role holds them, so every /api/v1/delivery call currently returns 403; there is no seed data, no “Delivery” screen in the Admin app and no tracking view in the storefront, and openapi.json has not been regenerated. Morise Logistics Ltd already exists as a live subsidiary (Jinja Branch; last-mile delivery service LOG-2003); the delivery hubs, departments and policies in doc 22 Section 8 remain proposals. The wider platform (mobile apps, route optimisation, the fee engine, telematics, notifications, driver analytics) is future scope.</w:t>
      </w:r>
    </w:p>
    <w:p>
      <w:pPr>
        <w:pStyle w:val="Heading2"/>
      </w:pPr>
      <w:r>
        <w:t>Impact on this document</w:t>
      </w:r>
    </w:p>
    <w:p>
      <w:pPr>
        <w:pStyle w:val="BodyText"/>
      </w:pPr>
      <w:r>
        <w:t>Process — the order → ready-for-delivery → dispatch → proof-of-delivery → order-complete process now exists in the back end (POST /api/v1/delivery/* endpoints, with completing a goods delivery advancing its order to “delivered”). It is not yet operable end to end: no permissions are granted and there is no dispatch screen.</w:t>
      </w:r>
    </w:p>
    <w:p>
      <w:pPr>
        <w:pStyle w:val="Heading1"/>
      </w:pPr>
      <w:r>
        <w:t>Implementation Status Update 66 (31 August 2026) — Automatic Morise-Stamped Invoice on Customer-Acknowledged Delivery (Doc 22 Addendum)</w:t>
      </w:r>
    </w:p>
    <w:p>
      <w:pPr>
        <w:pStyle w:val="BodyText"/>
      </w:pPr>
      <w:r>
        <w:t>A customer has asked that, once the delivery persona from Morise Logistics Ltd has delivered the goods or services and the customer has acknowledged receiving them in good condition, MBMS automatically issues a Morise-stamped invoice for that order — one branded document that is the definitive proof of supply and of the customer's acceptance. The concept has been added to docx/22_Delivery Management System — Feature Specification as an addendum (“Customer Acknowledgement of Delivery &amp; the Automatic Morise-Stamped Invoice”).</w:t>
      </w:r>
    </w:p>
    <w:p>
      <w:pPr>
        <w:pStyle w:val="BodyText"/>
      </w:pPr>
      <w:r>
        <w:t>Mechanism. The delivery persona completes the delivery and captures proof of delivery (delivery — “delivered”, order — “delivered”). The customer is then prompted in the storefront to confirm the outcome — received in good condition, damaged, incomplete, or not received (proposed POST /api/v1/customer-portal/orders/:id/delivery/acknowledge, customer-JWT, audited). On a “good condition” acknowledgement the order's existing invoice is moved to an issued / stamped state and a Morise-stamped invoice PDF is generated — the Morise brand mark used as a seal, plus the delivery and acknowledgement details, in the customer's language. On any other outcome no stamp is issued: a delivery exception is opened and the invoice stays provisional.</w:t>
      </w:r>
    </w:p>
    <w:p>
      <w:pPr>
        <w:pStyle w:val="BodyText"/>
      </w:pPr>
      <w:r>
        <w:t>Status — specification only. It extends the Delivery Management System (doc 22, whose Phase 1 back end is present but switched off) and the existing per-order invoice with an issued / stamped state and a branded document. Nothing is built: there is no customer acknowledgement endpoint, no invoice-stamp fields or migration, and no brand mark in the invoice PDF (today a plain table with a text footer). Recorded as a doc 22 addendum plus this status-log entry; no code, schema, endpoint, permission or migration change; OpenAPI unchanged.</w:t>
      </w:r>
    </w:p>
    <w:p>
      <w:pPr>
        <w:pStyle w:val="Heading2"/>
      </w:pPr>
      <w:r>
        <w:t>Impact on this document</w:t>
      </w:r>
    </w:p>
    <w:p>
      <w:pPr>
        <w:pStyle w:val="BodyText"/>
      </w:pPr>
      <w:r>
        <w:t>Process — extends the delivery process (doc 22): proof of delivery — customer acknowledgement — (good) issue and stamp the invoice and notify; (not good) open a delivery exception and hold the invoice provisional. Not built.</w:t>
      </w:r>
    </w:p>
    <w:p>
      <w:pPr>
        <w:pStyle w:val="Heading1"/>
      </w:pPr>
      <w:r>
        <w:t>Implementation Status Update 67 (31 August 2026) — Admin Assignment of a Morise Logistics Ltd Delivery Persona to an Order (Doc 22 Addendum)</w:t>
      </w:r>
    </w:p>
    <w:p>
      <w:pPr>
        <w:pStyle w:val="BodyText"/>
      </w:pPr>
      <w:r>
        <w:t>An administrator has asked to be able to assign a delivery persona (a driver / courier) from Morise Logistics Ltd to deliver the products or services on an order a customer has placed. The workflow has been recorded in docx/22_Delivery Management System — Feature Specification as an addendum (“Admin Assignment of a Morise Logistics Ltd Delivery Persona to an Order”), covering Sections 2.3 (Dispatch &amp; Operations Console) and 2.8 (Fleet &amp; Driver Management).</w:t>
      </w:r>
    </w:p>
    <w:p>
      <w:pPr>
        <w:pStyle w:val="BodyText"/>
      </w:pPr>
      <w:r>
        <w:t>A dispatcher (a user with delivery.manage) reviews the orders that can still be handed to Logistics (GET /api/v1/delivery/eligible-orders — a fulfilment-state order, not cancelled, without a delivery), creates a delivery against the chosen order (POST /api/v1/delivery, companyId = Morise Logistics Ltd, orderId — customer, origin company, drop address and delivery fee resolved from the order), and assigns a delivery persona from Morise Logistics Ltd's pool, either on create (driverId — status “assigned”) or afterwards (POST /api/v1/delivery/:id/assign with driverId, optional scheduledDate, note). Personas are delivery_drivers rows scoped to Morise Logistics Ltd (name, phone, licence, vehicle, active flag, optional Employee link) with their own CRUD and an open-delivery count; assignment is refused unless the persona is active and in the same company as the delivery. Assigning stamps assignedAt, moves a “pending” delivery to “assigned”, logs a delivery event and records a delivery.driver_assigned audit entry; a non-terminal delivery can be reassigned the same way. All of this is implemented in the Phase 1 back end.</w:t>
      </w:r>
    </w:p>
    <w:p>
      <w:pPr>
        <w:pStyle w:val="BodyText"/>
      </w:pPr>
      <w:r>
        <w:t>Not yet usable: the delivery.manage / delivery.viewAll permission codes are not in the seed permission catalogue and no role holds them, so every /api/v1/delivery call returns 403; there are no seeded Morise Logistics Ltd drivers, and there is no “Delivery” dispatch screen in the Admin app. Recorded as a doc 22 addendum plus this status-log entry; no code, schema, endpoint, permission or migration change; OpenAPI unchanged.</w:t>
      </w:r>
    </w:p>
    <w:p>
      <w:pPr>
        <w:pStyle w:val="Heading2"/>
      </w:pPr>
      <w:r>
        <w:t>Impact on this document</w:t>
      </w:r>
    </w:p>
    <w:p>
      <w:pPr>
        <w:pStyle w:val="BodyText"/>
      </w:pPr>
      <w:r>
        <w:t>Process — the dispatch step of the delivery process (doc 22 Section 2.3): eligible-orders queue — create a delivery — assign a persona — advance to delivered. Coded; not operable (no permissions, no screen).</w:t>
      </w:r>
    </w:p>
    <w:p>
      <w:pPr>
        <w:pStyle w:val="Heading1"/>
      </w:pPr>
      <w:r>
        <w:t>Implementation Status Update 68 (31 August 2026) — Delivery Module Activated — delivery.manage / delivery.viewAll Seeded &amp; Granted</w:t>
      </w:r>
    </w:p>
    <w:p>
      <w:pPr>
        <w:pStyle w:val="BodyText"/>
      </w:pPr>
      <w:r>
        <w:t>The Delivery Management System back end for Morise Logistics Ltd (docx/22; recorded across Updates 65—67) has been activated. Its two permission codes — delivery.manage and delivery.viewAll — have been added to the seed permission catalogue (prisma/seed.ts, domain operations) and granted to roles, so the dispatch API is now reachable and an authorised administrator can assign a delivery persona from Morise Logistics Ltd to a customer's order.</w:t>
      </w:r>
    </w:p>
    <w:p>
      <w:pPr>
        <w:pStyle w:val="BodyText"/>
      </w:pPr>
      <w:r>
        <w:t>Grants: delivery.manage + delivery.viewAll to Super Administrator, Managing Director, IT Administrator and Operations Manager; delivery.manage (own company scope) to Branch Manager; delivery.viewAll to Group CEO, Auditor, External Auditor, Board Member and Read-only User. Verified end to end against the running system: signed in as the Managing Director, GET /api/v1/delivery, /delivery/metrics, /delivery/eligible-orders and /delivery/drivers return 200 (they returned 403 before); a Morise Logistics Ltd delivery persona was created, a delivery (DEL-2026-0001) was created for a storefront order — the customer, drop address and delivery fee were resolved from the order — and the persona was assigned, moving the delivery pending → assigned, stamping assignedAt, appending a delivery event and recording a delivery.driver_assigned audit entry. The verification rows were then removed, so no delivery data is seeded.</w:t>
      </w:r>
    </w:p>
    <w:p>
      <w:pPr>
        <w:pStyle w:val="BodyText"/>
      </w:pPr>
      <w:r>
        <w:t>Seed data + grants only — no schema, endpoint, migration or application-code change; the endpoints were already built and wired (recorded in Update 65). This supersedes the “switched off / every /api/v1/delivery call returns 403” statements in Updates 65, 66 and 67 and their addenda. Still pending: seeded Morise Logistics Ltd delivery personas, an Admin “Delivery” dispatch screen (and a storefront tracking view), and an openapi.json regeneration so the endpoints appear in the published API contract.</w:t>
      </w:r>
    </w:p>
    <w:p>
      <w:pPr>
        <w:pStyle w:val="Heading2"/>
      </w:pPr>
      <w:r>
        <w:t>Impact on this document</w:t>
      </w:r>
    </w:p>
    <w:p>
      <w:pPr>
        <w:pStyle w:val="BodyText"/>
      </w:pPr>
      <w:r>
        <w:t>Process — the dispatch step of the delivery process is now operable through the API (eligible-orders queue → create a delivery → assign a persona), pending the Admin screen.</w:t>
      </w:r>
    </w:p>
    <w:p>
      <w:pPr>
        <w:pStyle w:val="Heading1"/>
      </w:pPr>
      <w:r>
        <w:t>Implementation Status Update 69 (31 August 2026) — Customer Storefront Wording: Services Catalog / Add to Invoice / Invoice</w:t>
      </w:r>
    </w:p>
    <w:p>
      <w:pPr>
        <w:pStyle w:val="BodyText"/>
      </w:pPr>
      <w:r>
        <w:t>An administrator asked for three wording changes in the Customer Storefront: “product catalog” becomes “services catalog”, the “Add to Cart” action becomes “Add to Invoice”, and “Cart” becomes “Invoice” throughout the shopping flow.</w:t>
      </w:r>
    </w:p>
    <w:p>
      <w:pPr>
        <w:pStyle w:val="BodyText"/>
      </w:pPr>
      <w:r>
        <w:t>The change is front-end text only. It updates the storefront's string catalogue: en.js (the master key set) in full — header.cart (Cart — Invoice), common.addToCart / productDetail.added / productDetail.addFromBranch (the “Add to Cart” / “Added to Cart” forms — the “Invoice” forms), shop.heading (“Product Catalog” — “Services Catalog”), shop.loadFailed, cart.crumb (“Shop / Cart” — “Shop / Invoice”), cart.heading (“Cart &amp; Checkout” — “Invoice &amp; Checkout”), cart.emptyLead, cart.browseCatalog, landing.feat.shop.title, and the landing hero / step / disclaimer prose that mentions “product catalog” or “your cart” — plus the matching, already-translated keys in the eight other full languages (French, Spanish, Portuguese, German, Italian, Swahili, Luganda, Arabic) and the two partial ones (Runyankole, Acholi), so no supported language shows the old wording. The header basket icon changes from 🛒 to 🧾.</w:t>
      </w:r>
    </w:p>
    <w:p>
      <w:pPr>
        <w:pStyle w:val="BodyText"/>
      </w:pPr>
      <w:r>
        <w:t>No route, component, API, permission or data-model change: the URL is still /cart, the React components (CartPage, CartProvider, lib/cart.jsx), the CSS classes and the orders / invoices back end are untouched — an order still creates its Invoice at order time exactly as before. Only the customer-facing labels change, to “services catalog”, “Add to Invoice” and “Invoice”. Verified with a production vite build (73 modules, no errors).</w:t>
      </w:r>
    </w:p>
    <w:p>
      <w:pPr>
        <w:pStyle w:val="Heading2"/>
      </w:pPr>
      <w:r>
        <w:t>Impact on this document</w:t>
      </w:r>
    </w:p>
    <w:p>
      <w:pPr>
        <w:pStyle w:val="BodyText"/>
      </w:pPr>
      <w:r>
        <w:t>Process — no process change. The place-order — invoice flow is unchanged; only the on-screen names for the catalogue and the basket step differ.</w:t>
      </w:r>
    </w:p>
    <w:p>
      <w:pPr>
        <w:pStyle w:val="Heading1"/>
      </w:pPr>
      <w:r>
        <w:t>Implementation Status Update 70 (1 September 2026) — Payroll Management — Feature Specification</w:t>
      </w:r>
    </w:p>
    <w:p>
      <w:pPr>
        <w:pStyle w:val="BodyText"/>
      </w:pPr>
      <w:r>
        <w:t>An administrator asked that a Payroll Management section be recorded: the payroll system should support employees across multiple subsidiaries, with salary structures (basic salary, allowances, overtime, bonuses, commissions), deductions (loans, advances, taxes, statutory deductions, pension contributions), payroll approval, payslip generation, bank payment schedules, payroll history, and payroll reports at department, company and consolidated group level.</w:t>
      </w:r>
    </w:p>
    <w:p>
      <w:pPr>
        <w:pStyle w:val="BodyText"/>
      </w:pPr>
      <w:r>
        <w:t>Much of the core is already built (Update 41, 28 August 2026). MBMS runs a monthly PayrollRun per subsidiary (draft → approved → paid), producing a Payslip per active employee that computes Uganda PAYE and the NSSF employee / employer contributions from Employee.grossSalary, less any salary-advance instalment and a manual other-deductions figure; paying a run posts a balanced journal entry to that company's ledger and notifies each employee whose login can see their payslip. Salary advances have their own request → approve / reject → recovering → recovered lifecycle and are recovered automatically by the next run. The module is multi-subsidiary: every run is company-scoped and payroll.viewAll gives group-wide visibility; My Payslips is the employee self-service view. Of the requested list, these are live: multi-subsidiary support, basic (gross) salary, advances, taxes (PAYE), statutory deductions (NSSF), pension via NSSF, payroll approval, payslip data generation and payroll history.</w:t>
      </w:r>
    </w:p>
    <w:p>
      <w:pPr>
        <w:pStyle w:val="BodyText"/>
      </w:pPr>
      <w:r>
        <w:t>The rest is recorded as the Payroll Management backlog on top of that core, and is not built: a salary-structure model with distinct components (basic, allowances, overtime, bonuses, commissions) rather than a single gross figure; typed deductions and a long-term loan facility (with an interest / repayment schedule) distinct from the short-term advance; a voluntary / occupational pension scheme beyond NSSF; a rendered PDF payslip; bank payment schedules / an EFT payment file; and the reporting suite — payroll reports, department payroll reports (there is no department dimension on the payslip today), company payroll reports and consolidated group payroll reports (no report endpoint exists). This update adds the specification only — no code, schema, endpoint or permission change; the built Payroll module is unchanged.</w:t>
      </w:r>
    </w:p>
    <w:p>
      <w:pPr>
        <w:pStyle w:val="Heading2"/>
      </w:pPr>
      <w:r>
        <w:t>Impact on this document</w:t>
      </w:r>
    </w:p>
    <w:p>
      <w:pPr>
        <w:pStyle w:val="BodyText"/>
      </w:pPr>
      <w:r>
        <w:t>Process — the monthly process (create draft run → approve → pay → GL post → notify; advances requested / approved and auto-recovered) is built. The spec adds the earning-and-deduction build-up per employee, a bank-payment step after pay, and periodic reporting at three levels.</w:t>
      </w:r>
    </w:p>
    <w:p>
      <w:pPr>
        <w:pStyle w:val="Heading1"/>
      </w:pPr>
      <w:r>
        <w:t>Implementation Status Update 71 (1 September 2026) — Payroll: Salary Structures, Allowances, Overtime &amp; Bonuses</w:t>
      </w:r>
    </w:p>
    <w:p>
      <w:pPr>
        <w:pStyle w:val="BodyText"/>
      </w:pPr>
      <w:r>
        <w:t>Implementing the first slice of the Payroll Management backlog recorded in Update 70: salary structures, allowances, overtime and bonuses are now built. An employee's monthly pay is built up from a salary structure of components — a basic salary, one or more allowances, and one-off overtime or bonus lines — instead of a single flat gross figure.</w:t>
      </w:r>
    </w:p>
    <w:p>
      <w:pPr>
        <w:pStyle w:val="BodyText"/>
      </w:pPr>
      <w:r>
        <w:t>What changed (mbms/backend/src/payroll/ + one migration + the Payroll admin screen): a new salary_components table (type basic / allowance / overtime / bonus, label, amount, a recurring flag, and periodYear / periodMonth for a one-off line) holds each employee's structure; a payslip_components child table records the earnings breakdown captured on every payslip. A payroll run now derives each employee's gross from the sum of their applicable components (all recurring components, plus one-off components tagged for that month), falling back to Employee.grossSalary when an employee has no structure — so existing data keeps working. PAYE and NSSF are still computed on the resulting gross by the same Uganda statutory util; the GL posting on pay is unchanged. New endpoints: GET / POST /api/v1/payroll/salary-components, PATCH / DELETE /api/v1/payroll/salary-components/:id, and GET /api/v1/payroll/salary-structure/:employeeId (the assembled structure for a month with a PAYE / NSSF / net preview) — all under the existing payroll.manage / payroll.viewAll permissions, no new code. The Admin Payroll screen gains a Salary structures tab; each payslip row in a run expands to its component breakdown; My Payslips carries the same breakdown.</w:t>
      </w:r>
    </w:p>
    <w:p>
      <w:pPr>
        <w:pStyle w:val="BodyText"/>
      </w:pPr>
      <w:r>
        <w:t>Verified end to end: two demo Morise Agro Ltd employees were given a structure (basic + housing + transport allowances, plus a one-off overtime line for Grace Auma and a one-off performance bonus for Peter Kintu); a September 2026 payroll run derived their gross from the components (Grace 1,600,000 → 1,780,000 with the overtime; Kintu 2,800,000 → 3,300,000 with the bonus) and each payslip carried the four-line breakdown, while structure-less employees fell back to their flat gross unchanged; component create / update / delete work and a role without payroll.manage is refused (403). Backend nest build and the admin vite build are clean. Migration 20260901120000_salary_structures applied. The remaining Payroll Management backlog — commissions, typed deductions, a loan facility, a voluntary pension, a payslip PDF, bank payment schedules and the reporting suite — is unchanged.</w:t>
      </w:r>
    </w:p>
    <w:p>
      <w:pPr>
        <w:pStyle w:val="Heading2"/>
      </w:pPr>
      <w:r>
        <w:t>Impact on this document</w:t>
      </w:r>
    </w:p>
    <w:p>
      <w:pPr>
        <w:pStyle w:val="BodyText"/>
      </w:pPr>
      <w:r>
        <w:t>Process — the monthly process gains a step: maintain each employee's salary structure; a run sums the recurring components plus that month's one-off items into gross, then PAYE / NSSF / net as before. Pay and GL posting unchanged.</w:t>
      </w:r>
    </w:p>
    <w:p>
      <w:pPr>
        <w:pStyle w:val="Heading1"/>
      </w:pPr>
      <w:r>
        <w:t>Implementation Status Update 72 (1 September 2026) — Accounting &amp; Finance Feature Section</w:t>
      </w:r>
    </w:p>
    <w:p>
      <w:pPr>
        <w:pStyle w:val="BodyText"/>
      </w:pPr>
      <w:r>
        <w:t>An administrator asked that a “7. Accounting and Finance” section be recorded: the financial module should be one of the core components of the system, covering General Ledger (chart of accounts, journal entries, general ledger, trial balance, financial periods, account reconciliation, recurring journals, adjusting entries, closing entries), Accounts Receivable (customer invoices, credit / debit notes, customer payments, outstanding invoices, payment reminders, customer statements, aging reports, receivable reconciliation), Accounts Payable (supplier / purchase invoices, supplier payments, credit notes, supplier statements, outstanding bills, aging reports, payment schedules, approval workflows) and Financial Statements (Profit and Loss, Balance Sheet, Cash Flow Statement, Trial Balance, General Ledger, Statement of Changes in Equity, Budget versus actual, Financial ratios, Management accounts).</w:t>
      </w:r>
    </w:p>
    <w:p>
      <w:pPr>
        <w:pStyle w:val="BodyText"/>
      </w:pPr>
      <w:r>
        <w:t>This module is already one of the built core components of MBMS — the Sprint 10 “Full Accounting” slice and the 19 August 2026 Financial Module Deepening. Against the requested list, all four areas are substantially built. General Ledger: the Account chart (type / sub-type), JournalEntry / JournalEntryItem with a draft → posted lifecycle and a standard / adjusting / closing entry type, FinancialPeriod with an open → closed lifecycle (a close posts the closing entries), RecurringJournalEntry with a generate action, AccountReconciliation, and reports for the general ledger and trial balance. Accounts Receivable: Invoice, CustomerCreditNote / CustomerDebitNote, Payment / PaymentAllocation, and /ar endpoints for aging, outstanding invoices, a customer statement (with PDF) and a payment reminder. Accounts Payable: SupplierInvoice / SupplierInvoiceItem with a draft → pending_approval → approved → paid workflow (submit-for-approval / approve under ap.approve), SupplierPayment / SupplierPaymentApplication, SupplierCreditNote, and /ap endpoints for aging, a supplier statement and a payment schedule. Financial Statements: /accounting/reports/ for income-statement (Profit and Loss), balance-sheet, cash-flow-statement, trial-balance, general-ledger, statement-of-changes-in-equity, budget-vs-actual (with the Budget model), financial-ratios and management-accounts. All gated by accounting.manage / accounting.viewAll (AR reuses these) and ap.manage / ap.approve / ap.viewAll; the finance/overview endpoint and the FINANCIAL &amp; ACCOUNTING admin category tie them together.</w:t>
      </w:r>
    </w:p>
    <w:p>
      <w:pPr>
        <w:pStyle w:val="BodyText"/>
      </w:pPr>
      <w:r>
        <w:t>Gaps against the requested list: a dedicated Accounts Receivable sub-ledger reconciliation (open customer invoices vs. the GL AR control account) — the generic account reconciliation can be pointed at the AR control account, but there is no purpose-built AR reconciliation view; and “purchase invoices” and “supplier invoices” are the same entity here (SupplierInvoice). This update adds the specification / status record only — no code, schema, endpoint or permission change; the built financial module is unchanged.</w:t>
      </w:r>
    </w:p>
    <w:p>
      <w:pPr>
        <w:pStyle w:val="Heading2"/>
      </w:pPr>
      <w:r>
        <w:t>Impact on this document</w:t>
      </w:r>
    </w:p>
    <w:p>
      <w:pPr>
        <w:pStyle w:val="BodyText"/>
      </w:pPr>
      <w:r>
        <w:t>Process — the record-to-report process is built: post journals (draft → posted, typed standard / adjusting / closing) → reconcile accounts → close the period → run the statements; AR runs invoice → note → payment → reminder → statement; AP runs supplier invoice → submit → approve → pay → statement. No process change here.</w:t>
      </w:r>
    </w:p>
    <w:p>
      <w:pPr>
        <w:pStyle w:val="Heading1"/>
      </w:pPr>
      <w:r>
        <w:t>Implementation Status Update 73 (1 September 2026) — Cash &amp; Bank Management Feature Section</w:t>
      </w:r>
    </w:p>
    <w:p>
      <w:pPr>
        <w:pStyle w:val="BodyText"/>
      </w:pPr>
      <w:r>
        <w:t>An administrator asked that a “Cash and Bank Management” section be recorded, covering bank account management, cash accounts, petty cash, bank deposits, bank withdrawals, transfers, bank reconciliation, cash reconciliation, payment vouchers, receipt vouchers, cash-flow forecasting and cash position reports.</w:t>
      </w:r>
    </w:p>
    <w:p>
      <w:pPr>
        <w:pStyle w:val="BodyText"/>
      </w:pPr>
      <w:r>
        <w:t>There is no dedicated Cash &amp; Bank module in MBMS yet, but several of these features are already reachable through the built General Ledger. Bank and cash accounts are General Ledger Account rows carrying an accountSubType of bank or cash, created and edited through /accounting/accounts; a bank deposit, a bank withdrawal or a bank → cash / bank → bank transfer is recorded today as a manual balanced journal entry against those accounts. Bank reconciliation and cash reconciliation are fully built — the AccountReconciliation model and /accounting/reconciliations (+ /:id/reconcile) reconcile any account's ledger balance to an external statement balance as of a date, with a variance and an open → reconciled lifecycle; pointing it at a bank or cash account is exactly bank / cash reconciliation. A group-wide cash position (cash and bank balances per company) is already exposed by the dashboard financials and the /finance/overview endpoint.</w:t>
      </w:r>
    </w:p>
    <w:p>
      <w:pPr>
        <w:pStyle w:val="BodyText"/>
      </w:pPr>
      <w:r>
        <w:t>Net-new on the backlog: a purpose-built bank / cash account register (bank name, account number, currency, branch, opening balance) rather than a bare GL account; a petty cash float / imprest with top-ups and expense drawdowns; one-step deposit, withdrawal and transfer actions that post the journal entry for you; payment vouchers and receipt vouchers as printable, approved documents; cash-flow forecasting (a forward projection from open receivables / payables and scheduled items, distinct from the historical cash-flow statement); and a dedicated cash position report by account and date. This update adds the specification / status record only — no code, schema, endpoint or permission change; the built ledger and reconciliation are unchanged.</w:t>
      </w:r>
    </w:p>
    <w:p>
      <w:pPr>
        <w:pStyle w:val="Heading2"/>
      </w:pPr>
      <w:r>
        <w:t>Impact on this document</w:t>
      </w:r>
    </w:p>
    <w:p>
      <w:pPr>
        <w:pStyle w:val="BodyText"/>
      </w:pPr>
      <w:r>
        <w:t>Process — today: record a deposit / withdrawal / transfer as a manual journal entry, then reconcile the account against its statement, then read the cash position from the dashboard. The spec adds guided deposit / withdrawal / transfer, a petty-cash cycle, voucher issue-and-approve, and a forward cash-flow forecast.</w:t>
      </w:r>
    </w:p>
    <w:p>
      <w:pPr>
        <w:pStyle w:val="Heading1"/>
      </w:pPr>
      <w:r>
        <w:t>Implementation Status Update 74 (1 September 2026) — Budget Management Feature Section</w:t>
      </w:r>
    </w:p>
    <w:p>
      <w:pPr>
        <w:pStyle w:val="BodyText"/>
      </w:pPr>
      <w:r>
        <w:t>An administrator asked that a “Budget Management” section be recorded, covering annual budgets, department budgets, project budgets, company budgets, group budgets, capital expenditure budgets, operating expenditure budgets, budget approval, budget revisions, budget versus actual, budget utilization, budget alerts and variance analysis.</w:t>
      </w:r>
    </w:p>
    <w:p>
      <w:pPr>
        <w:pStyle w:val="BodyText"/>
      </w:pPr>
      <w:r>
        <w:t>A budgeting capability is already built in the General Ledger. A Budget is one budgeted amount per Account per FinancialPeriod, set through /accounting/budgets (an upsert; every change is audited with the previous and new amount, giving a revision trail); GET /accounting/reports/budget-vs-actual lists every budgeted account for a period with its actual posted activity, the variance and the variance percentage, and that block also rides inside /accounting/reports/management-accounts. So company budgets, budget versus actual and a derived %-utilization (actual / budgeted) are live per subsidiary. Project budgets are also built — Project.budget with a budget-vs-actual-cost variance on the project summary.</w:t>
      </w:r>
    </w:p>
    <w:p>
      <w:pPr>
        <w:pStyle w:val="BodyText"/>
      </w:pPr>
      <w:r>
        <w:t>Net-new on the backlog: an annual (fiscal-year) budget as a first-class concept distinct from the per-period figure; a department dimension on the budget; a group budget that rolls up across the subsidiaries; an explicit capital-expenditure / operating-expenditure classification; a budget approval workflow (draft → approved) and versioned budget revisions (original vs revised, not just an audit trail); a dedicated budget-utilization report; budget alerts when spend crosses a threshold (this codebase has no configurable alert-rule engine yet); and a deeper variance analysis (favourable / unfavourable classification, drill-down and commentary) beyond the budget-vs-actual figure. This update adds the specification / status record only — no code, schema, endpoint or permission change; the built Budget model and budget-vs-actual report are unchanged.</w:t>
      </w:r>
    </w:p>
    <w:p>
      <w:pPr>
        <w:pStyle w:val="Heading2"/>
      </w:pPr>
      <w:r>
        <w:t>Impact on this document</w:t>
      </w:r>
    </w:p>
    <w:p>
      <w:pPr>
        <w:pStyle w:val="BodyText"/>
      </w:pPr>
      <w:r>
        <w:t>Process — today: set a budget amount per account for a period, then compare it to posted actuals on the budget-vs-actual report. The spec adds a budget draft → approve → revise cycle, per-department / per-project / group budgets, and an alert when actual crosses a threshold of the budget.</w:t>
      </w:r>
    </w:p>
    <w:p>
      <w:pPr>
        <w:pStyle w:val="Heading1"/>
      </w:pPr>
      <w:r>
        <w:t>Implementation Status Update 75 (1 September 2026) — Sales Management Feature Section</w:t>
      </w:r>
    </w:p>
    <w:p>
      <w:pPr>
        <w:pStyle w:val="BodyText"/>
      </w:pPr>
      <w:r>
        <w:t>An administrator asked that a “Sales Management” section be recorded, covering Customer Management (customer registration, profiles, contacts, categories, credit limits, payment terms, history, statements), Sales (quotations, sales orders, delivery notes, invoices, receipts, credit notes, sales returns, discounts, promotions, sales commissions, sales targets, sales performance) and CRM (leads, opportunities, follow-ups, customer interactions, calls, emails, meetings, sales pipeline, customer complaints, customer feedback).</w:t>
      </w:r>
    </w:p>
    <w:p>
      <w:pPr>
        <w:pStyle w:val="BodyText"/>
      </w:pPr>
      <w:r>
        <w:t>Customer Management and the core of Sales are already built. The Customer model carries name, category, contact email / phone, address, credit limit, payment-terms days and status; customers are registered by staff (POST /customers) or self-register in the storefront (with a Google-linked option), edited via PATCH /customers/:id, filtered by category, and each has a statement (GET /customers/:id/statement, plus /ar/statement and the storefront statement + PDF) and an order / invoice / payment history. On the Sales side: Order with a placed → confirmed → packed → out_for_delivery → delivered status machine (/sales/orders, sales.order.manage); an Invoice per order; CustomerCreditNote (/ar/credit-notes); admin-managed discount codes and promotional banners consumed by the storefront; and the Delivery module tracks the physical delivery with proof of delivery. Support tickets (SupportTicket, open → resolved, with categories and priority) are the customer-complaint and feedback channel today.</w:t>
      </w:r>
    </w:p>
    <w:p>
      <w:pPr>
        <w:pStyle w:val="BodyText"/>
      </w:pPr>
      <w:r>
        <w:t>Net-new on the backlog: quotations; a printed delivery note and a printed receipt document; a sales-return / RMA model (a return is only a credit note today); sales commissions (also a Payroll backlog item), sales targets and a sales-performance dashboard (the “Sales Performance” tile is deliberately deferred); a multi-contact list per customer and a credit-limit check enforced at order time (the limit is stored but not enforced); and the whole CRM — leads, opportunities, follow-ups, an activity / interaction log for calls, emails and meetings, a sales pipeline, and structured customer feedback — none of which exists as a module. This update adds the specification / status record only — no code, schema, endpoint or permission change.</w:t>
      </w:r>
    </w:p>
    <w:p>
      <w:pPr>
        <w:pStyle w:val="Heading2"/>
      </w:pPr>
      <w:r>
        <w:t>Impact on this document</w:t>
      </w:r>
    </w:p>
    <w:p>
      <w:pPr>
        <w:pStyle w:val="BodyText"/>
      </w:pPr>
      <w:r>
        <w:t>Process — built: register / edit a customer → they place an order → it advances through fulfilment → an invoice is raised → payments and a statement. The spec adds a quote → order conversion, a returns flow, receipt / delivery-note printing, commission accrual against targets, and a lead → opportunity → won CRM pipeline feeding the order.</w:t>
      </w:r>
    </w:p>
    <w:p>
      <w:pPr>
        <w:pStyle w:val="Heading1"/>
      </w:pPr>
      <w:r>
        <w:t>Implementation Status Update 76 (1 September 2026) — Procurement &amp; Purchasing Feature Section</w:t>
      </w:r>
    </w:p>
    <w:p>
      <w:pPr>
        <w:pStyle w:val="BodyText"/>
      </w:pPr>
      <w:r>
        <w:t>An administrator asked that a “Procurement and Purchasing” section be recorded, covering purchase requisitions, purchase orders, supplier quotations, requests for quotations, supplier comparison, purchase approvals, goods received notes, supplier invoices, purchase returns, procurement budgets and procurement reports, together with the end-to-end procurement workflow: Employee / Department Request → Department Approval → Procurement → Supplier Quotations → Evaluation → Management Approval → Purchase Order → Delivery → Inspection → Invoice → Payment.</w:t>
      </w:r>
    </w:p>
    <w:p>
      <w:pPr>
        <w:pStyle w:val="BodyText"/>
      </w:pPr>
      <w:r>
        <w:t>There is no dedicated Procurement module in MBMS — it has been a deliberately deferred Phase-2 area since the discovery pass — but the tail of the workflow and the supplier master are built. Suppliers are a first-class record (Supplier, /suppliers CRUD with blacklist / unblacklist and a sensitive-fields grant). On the payables side, a SupplierInvoice moves draft → pending_approval → approved → paid via /ap/invoices/:id/submit-for-approval and /approve (ap.approve, and approving it posts the balanced journal entry), plus supplier payments, supplier credit notes, an AP aging report, a supplier statement and a payment schedule. So supplier invoices are fully built, invoice approval is built, a purchase return is recorded today as a supplier credit note, and a procurement budget is a Budget line on the relevant expense or asset account with budget-vs-actual. The end-to-end procurement workflow is already documented in 05_Business Process Document (Section 6.5); only its Invoice → Payment tail is implemented.</w:t>
      </w:r>
    </w:p>
    <w:p>
      <w:pPr>
        <w:pStyle w:val="BodyText"/>
      </w:pPr>
      <w:r>
        <w:t>Net-new on the backlog: a Purchase Requisition with a department-approval step; a Request for Quotation sent to multiple suppliers; Supplier Quotations with a side-by-side comparison and an evaluation / award step; a Purchase Order with a management-approval chain; a Goods Received Note and an inspection step at delivery (no inbound-goods or inventory model exists); a Purchase Return / debit-note flow distinct from a supplier credit note; a three-way match (PO → GRN → invoice); and procurement-specific budgets and reports (spend by supplier / category, PO and requisition status, commitment vs. actual). This update adds the specification / status record only — no code, schema, endpoint or permission change; the supplier master and Accounts Payable are unchanged.</w:t>
      </w:r>
    </w:p>
    <w:p>
      <w:pPr>
        <w:pStyle w:val="Heading2"/>
      </w:pPr>
      <w:r>
        <w:t>Impact on this document</w:t>
      </w:r>
    </w:p>
    <w:p>
      <w:pPr>
        <w:pStyle w:val="BodyText"/>
      </w:pPr>
      <w:r>
        <w:t>Process — 05_Business Process Document already describes the procurement workflow (Section 6.5). Built today: enter a supplier invoice → submit for approval → approve (GL posts) → pay. The spec adds the front of the process — requisition, department approval, RFQ / quotation / evaluation, management approval, PO issue, and receipt against a GRN — feeding that invoice.</w:t>
      </w:r>
    </w:p>
    <w:p>
      <w:pPr>
        <w:pStyle w:val="Heading1"/>
      </w:pPr>
      <w:r>
        <w:t>Implementation Status Update 77 (1 September 2026) — Supplier Management Feature Section</w:t>
      </w:r>
    </w:p>
    <w:p>
      <w:pPr>
        <w:pStyle w:val="BodyText"/>
      </w:pPr>
      <w:r>
        <w:t>An administrator asked that a “Supplier Management” section be recorded, covering supplier registration, supplier profiles, supplier categories, supplier contacts, supplier contracts, supplier documents, tax information, bank details, supplier evaluation, supplier performance, supplier payment history, supplier statements and supplier blacklist / suspension.</w:t>
      </w:r>
    </w:p>
    <w:p>
      <w:pPr>
        <w:pStyle w:val="BodyText"/>
      </w:pPr>
      <w:r>
        <w:t>The supplier master is already built. A Supplier is a first-class record (name, category, contact email / phone, address, tax id, a contract reference and expiry date, bank name and bank account number, and a status of active / inactive / blacklisted), registered via POST /suppliers (supplier.manage, audited), edited via PATCH /suppliers/:id, listed and filtered by category, and blacklisted / un-blacklisted through POST /suppliers/:id/blacklist and /unblacklist. Tax information and bank details are held on the record, with the bank account number masked unless the caller holds supplier.view.sensitive. Supplier payment history and supplier statements are built on the payables side — GET /api/v1/ap/statement returns a chronological invoice / payment / credit-note ledger with a running balance for a given supplier. So of the requested list, registration, profiles, categories, tax information, bank details, payment history, statements and blacklist are live.</w:t>
      </w:r>
    </w:p>
    <w:p>
      <w:pPr>
        <w:pStyle w:val="BodyText"/>
      </w:pPr>
      <w:r>
        <w:t>Gaps against the requested list: a multi-contact list per supplier (only one email / phone today); supplier contracts and supplier documents as uploaded, versioned files with a lifecycle (today only a text contract reference and expiry date — the same deferred object-storage gap this project has carried for company logos and employee documents); a dedicated time-bound suspension distinct from blacklist and the inactive status; and supplier evaluation and supplier performance — a scorecard for on-time delivery, quality and price, and a rating history — neither of which is modelled. This update adds the specification / status record only — no code, schema, endpoint or permission change; the supplier master is unchanged.</w:t>
      </w:r>
    </w:p>
    <w:p>
      <w:pPr>
        <w:pStyle w:val="Heading2"/>
      </w:pPr>
      <w:r>
        <w:t>Impact on this document</w:t>
      </w:r>
    </w:p>
    <w:p>
      <w:pPr>
        <w:pStyle w:val="BodyText"/>
      </w:pPr>
      <w:r>
        <w:t>Process — built: register a supplier → categorise and record tax / bank details → transact (supplier invoices, payments) → pull a statement → blacklist on risk. The spec adds a contact list, contract / document management, a suspend-and-reinstate cycle, and a periodic evaluation feeding a performance score.</w:t>
      </w:r>
    </w:p>
    <w:p>
      <w:pPr>
        <w:pStyle w:val="Heading1"/>
      </w:pPr>
      <w:r>
        <w:t>Implementation Status Update 78 (1 September 2026) — Supplier Management: Contacts, Suspension &amp; Evaluation</w:t>
      </w:r>
    </w:p>
    <w:p>
      <w:pPr>
        <w:pStyle w:val="BodyText"/>
      </w:pPr>
      <w:r>
        <w:t>An administrator asked to implement the Supplier Management backlog recorded in the previous update — specifically a multi-contact list per supplier, a time-bound suspension distinct from blacklist, and supplier evaluation and performance. This has now shipped as code.</w:t>
      </w:r>
    </w:p>
    <w:p>
      <w:pPr>
        <w:pStyle w:val="BodyText"/>
      </w:pPr>
      <w:r>
        <w:t>Schema and migration 20260901130000_supplier_management add two tables and extend the supplier record. supplier_contacts holds several named people per supplier (name, title, email, phone, an is_primary flag and a free-text note); the service keeps at most one primary contact, demoting any previous primary when a new one is set. supplier_evaluations is a periodic scorecard: a period label, five criterion scores from 1 to 5 (on-time delivery, goods / service quality, price competitiveness, communication / responsiveness and documentation / terms compliance), an overall score that is their average, optional comments and the evaluating user. The SupplierStatus enum gains a suspended value, and suppliers gains suspension_reason and suspended_until columns.</w:t>
      </w:r>
    </w:p>
    <w:p>
      <w:pPr>
        <w:pStyle w:val="BodyText"/>
      </w:pPr>
      <w:r>
        <w:t>New endpoints sit under the existing supplier.manage / supplier.viewAll permissions (supplier.view.sensitive still governs unmasked bank / tax fields — no new permission was added). GET / POST /api/v1/suppliers/:id/contacts and PATCH / DELETE /api/v1/suppliers/:id/contacts/:contactId manage the contact list. POST /api/v1/suppliers/:id/suspend takes a reason and an optional auto-lift date and sets the status to suspended; POST /api/v1/suppliers/:id/unsuspend clears it. It refuses to suspend a blacklisted supplier (409) - un-blacklist first - and a suspension whose suspended_until date has passed lifts itself automatically the next time the record is read. GET / POST /api/v1/suppliers/:id/evaluations and DELETE /api/v1/suppliers/:id/evaluations/:evaluationId manage scorecards. GET /api/v1/suppliers/:id/performance returns a derived summary: evaluation count, overall average, a rating band (Excellent / Good / Fair / Poor), a trend against the previous scorecard (improving / declining / flat), per-criterion averages, and accounts-payable figures for the supplier (invoice count, paid and overdue counts, total invoiced, total paid and outstanding). There is no performance table - it is computed on request from the evaluations plus the supplier's AP invoice history.</w:t>
      </w:r>
    </w:p>
    <w:p>
      <w:pPr>
        <w:pStyle w:val="BodyText"/>
      </w:pPr>
      <w:r>
        <w:t>Every mutation is audited (supplier.contact.created / updated / deleted, supplier.evaluation.created / deleted, and supplier.record.updated for suspend / unsuspend), with bank and tax values kept out of event payloads as before. All routes are company-scoped exactly like the existing GET /suppliers/:id. The admin Suppliers screen now opens a supplier detail dialog from the supplier name with Contacts, Evaluations and Performance tabs and a Suspend / Lift-suspension control; add-contact, new-evaluation (1-5 sliders with a live overall) and suspend (reason + auto-lift date) dialogs are included, and the list shows a suspended badge with the lift date. Seed data adds three contacts and two quarterly scorecards (Q1 and Q2 2026) for AgroChem Uganda Ltd so the screen and the performance summary are populated on a fresh database.</w:t>
      </w:r>
    </w:p>
    <w:p>
      <w:pPr>
        <w:pStyle w:val="BodyText"/>
      </w:pPr>
      <w:r>
        <w:t>Still on the backlog: supplier contracts and supplier documents as uploaded, versioned files — the same deferred object-storage gap this project carries for company logos and employee documents. Verified end to end: seeded contacts and evaluations read back; adding a primary contact demotes the previous one; suspend then unsuspend; a new scorecard moves the performance average and trend; suspend on a blacklisted supplier returns 409; a caller without supplier.manage gets 403 on every mutation. nest build and the admin vite build are clean.</w:t>
      </w:r>
    </w:p>
    <w:p>
      <w:pPr>
        <w:pStyle w:val="Heading2"/>
      </w:pPr>
      <w:r>
        <w:t>Impact on this document</w:t>
      </w:r>
    </w:p>
    <w:p>
      <w:pPr>
        <w:pStyle w:val="BodyText"/>
      </w:pPr>
      <w:r>
        <w:t>Process — register a supplier → record several contacts → transact → evaluate each period on five criteria → read the performance rating / trend → suspend (with a reason and an optional auto-lift date) or blacklist a poor performer, and reinstate. All steps are now in the running system except contract / document attachment.</w:t>
      </w:r>
    </w:p>
    <w:p>
      <w:pPr>
        <w:pStyle w:val="Heading1"/>
      </w:pPr>
      <w:r>
        <w:t>Implementation Status Update 79 (1 September 2026) — Inventory Management: Warehouses, Transfers, Batch / Serial Tracking &amp; Reports</w:t>
      </w:r>
    </w:p>
    <w:p>
      <w:pPr>
        <w:pStyle w:val="BodyText"/>
      </w:pPr>
      <w:r>
        <w:t>An administrator asked to add and implement an “Inventory Management” section covering product registration, categories, codes, barcodes and units of measure; stock locations and warehouses; stock receipts, issues, transfers, adjustments, returns and counts; stock valuation; re-order / minimum / maximum stock levels; expiry-date, batch and serial-number tracking; and inventory reports (stock balance, stock movement, fast- / slow-moving, dead stock, valuation, shortage, surplus). Product registration / categories / codes / barcodes / units of measure were already built in the Product service, and a company-level Inventory section (stock-on-hand, a re-order point, receipt / issue / count adjustments and an immutable movement ledger) shipped on 28 August 2026. This pass builds the rest.</w:t>
      </w:r>
    </w:p>
    <w:p>
      <w:pPr>
        <w:pStyle w:val="BodyText"/>
      </w:pPr>
      <w:r>
        <w:t>Migration 20260901140000_inventory_management adds warehouses (one company may have several stock sites; each has a code, a name, an optional Branch link and an active flag, with exactly one marked the default), stock_locations (bins / aisles / racks within a warehouse, descriptive in this phase), stock_balances (on-hand of one product in one warehouse; the sum over a product’s rows equals Product.stockQuantity, the company roll-up the storefront and Orders still read), stock_batches (a batch number and an optional expiry date per batch-tracked product) and stock_serials (one row per serial-numbered unit, status in_stock / issued / returned / scrapped). Product gains min_stock_level, max_stock_level, track_batches and track_serials; StockMovement gains warehouse_id, counterparty_warehouse_id and batch_number; the StockMovementType enum gains adjustment, transfer_out, transfer_in and return. The MAIN-warehouse creation and the balance backfill from the existing roll-up run in prisma/seed.ts (and lazily in the service), keeping the migration DDL-only per this project’s convention.</w:t>
      </w:r>
    </w:p>
    <w:p>
      <w:pPr>
        <w:pStyle w:val="BodyText"/>
      </w:pPr>
      <w:r>
        <w:t>New endpoints sit under /api/v1/inventory, reads scoped per BR-01 like the product list and writes gated by product.manage — the same permission the existing section uses, so no new permission was added. Warehouses: GET / POST /inventory/warehouses, PATCH /inventory/warehouses/:id, GET / POST /inventory/warehouses/:id/locations, PATCH /inventory/locations/:locationId. Stock moves: POST /inventory/adjustments now takes an optional warehouseId (defaulting to MAIN) plus an optional batch number / expiry date on a receipt and an optional serial-number list on a receipt or issue; POST /inventory/transfers moves quantity between two warehouses of the same company as a paired transfer_out / transfer_in (the roll-up is unchanged); POST /inventory/returns books goods back into a warehouse. GET /inventory/balances lists a product’s per-warehouse rows; PUT /inventory/products/:id/stock-levels sets the re-order point, minimum and maximum together with the batch / serial flags (the older /reorder-point route is kept). GET /inventory/batches and GET /inventory/serials list the tracking rows.</w:t>
      </w:r>
    </w:p>
    <w:p>
      <w:pPr>
        <w:pStyle w:val="BodyText"/>
      </w:pPr>
      <w:r>
        <w:t>Eight reports are exposed at GET /inventory/reports/*: stock-balance (per product, with a per-warehouse breakdown), stock-movement (a date-ranged ledger), movement-analysis (fast-moving, slow-moving and dead-stock buckets from issue volume over a window), valuation (quantity × unit price, per warehouse and total), shortage (on-hand below the minimum, or below the re-order point where no minimum is set), surplus (on-hand above the maximum) and expiring (batches already expired or within N days of expiry). Every mutation is audited (inventory.warehouse.*, inventory.location.*, inventory.stock.adjusted / transferred / returned, inventory.stock_levels.updated). The admin Inventory screen gains Warehouses and Reports tabs, a warehouse filter and min / max columns on the stock list, Transfer / Return / Levels actions per row, a warehouse selector plus batch and serial fields on the adjust dialog, and a date range on the movement ledger. Seed data adds a MAIN warehouse for every company that holds stock, a second Agro warehouse (Kira Dispatch Store) with two locations, minimum / maximum levels on five products, a batch-tracked herbicide with two batches (one near expiry), a serial-tracked pallet with three units, and a demo MAIN → Kira transfer.</w:t>
      </w:r>
    </w:p>
    <w:p>
      <w:pPr>
        <w:pStyle w:val="BodyText"/>
      </w:pPr>
      <w:r>
        <w:t>Every requested feature now maps to something running: product registration / categories / codes / barcodes / units of measure (Product service), stock locations and warehouses, receipts / issues / transfers / adjustments / returns / counts, stock valuation, re-order / minimum / maximum levels, expiry-date / batch / serial tracking, and all eight named reports. Verified end to end: warehouses created per company; a transfer leaves the roll-up unchanged while both warehouse balances move; over-issue and over-transfer return 409; the shortage / surplus / expiring reports pick up the seeded thresholds and batches; a serial receipt then issue flips the unit status; a caller without product.manage gets 403 on every write. nest build, admin vite build and the OpenAPI regeneration are clean.</w:t>
      </w:r>
    </w:p>
    <w:p>
      <w:pPr>
        <w:pStyle w:val="Heading2"/>
      </w:pPr>
      <w:r>
        <w:t>Impact on this document</w:t>
      </w:r>
    </w:p>
    <w:p>
      <w:pPr>
        <w:pStyle w:val="BodyText"/>
      </w:pPr>
      <w:r>
        <w:t>Process — receive into a warehouse (optionally against a batch / serials) → put away to a location → transfer between warehouses → issue / count / adjust → accept returns → review shortage / surplus / dead-stock / expiring reports → value the stock. All steps run in the system now.</w:t>
      </w:r>
    </w:p>
    <w:p>
      <w:pPr>
        <w:pStyle w:val="Heading1"/>
      </w:pPr>
      <w:r>
        <w:t>Implementation Status Update 80 (1 September 2026) — Warehouse Management: Staff, Receiving, Picking / Packing / Dispatch &amp; Count Reconciliation</w:t>
      </w:r>
    </w:p>
    <w:p>
      <w:pPr>
        <w:pStyle w:val="BodyText"/>
      </w:pPr>
      <w:r>
        <w:t>An administrator asked to add and implement a “Warehouse Management” section covering multiple warehouses, warehouse locations, bin management, receiving, picking, packing, dispatch, stock transfers, warehouse staff management, warehouse stock counts, barcode scanning and inventory reconciliation. Multiple warehouses, warehouse locations and stock transfers were built earlier the same day in the Inventory Management pass; this pass adds the warehouse operations layer on top.</w:t>
      </w:r>
    </w:p>
    <w:p>
      <w:pPr>
        <w:pStyle w:val="BodyText"/>
      </w:pPr>
      <w:r>
        <w:t>Migration 20260901150000_warehouse_management adds warehouse_staff (an Employee assigned to a warehouse with a role of manager / supervisor / receiver / picker / packer / dispatcher), goods_receipts + goods_receipt_lines (an inbound receiving document: draft → received → cancelled; each line names a product, a quantity and an optional batch / expiry / bin), pick_lists + pick_list_lines (a fulfilment job: pending → picking → picked → packed → dispatched, optionally tied to a sales Order whose items become the lines) and stock_counts + stock_count_lines (a physical count session: open → counting → reconciled, each line snapshotting the system quantity, recording the counted quantity and the variance). Stock locations gain a functional kind (receiving / storage / picking / packing / dispatch / quarantine), so a bin has a role in the flow. All of it reuses product.manage / product.viewAll — no new permission — and the seeded Warehouse Manager role now holds product.manage so that persona can run the floor.</w:t>
      </w:r>
    </w:p>
    <w:p>
      <w:pPr>
        <w:pStyle w:val="BodyText"/>
      </w:pPr>
      <w:r>
        <w:t>New endpoints under /api/v1/inventory (reads scoped per BR-01, writes gated by product.manage): GET / POST /inventory/warehouses/:id/staff and PATCH / DELETE /inventory/warehouse-staff/:id manage staff. GET / POST /inventory/goods-receipts, GET /inventory/goods-receipts/:id, POST .../:id/receive (books a receipt stock movement per line, updating the warehouse balance, the company roll-up and any batch), POST .../:id/cancel. GET / POST /inventory/pick-lists, GET /inventory/pick-lists/:id, POST .../:id/assign, POST .../:id/pick (issues the picked quantity from the warehouse, with a 409 if stock is short), POST .../:id/pack, POST .../:id/dispatch (which also nudges a linked order to packed / out_for_delivery), POST .../:id/cancel (returning already-picked stock). GET / POST /inventory/stock-counts, GET /inventory/stock-counts/:id, POST .../:id/lines, PATCH .../:id/lines/:lineId (record a counted quantity), POST .../:id/reconcile (posts a count adjustment for every line whose count differs from the system figure and writes the variance), POST .../:id/cancel. GET /inventory/lookup?barcode= returns the matching product and its per-warehouse balances, and a goods-receipt / pick-list / stock-count line may be entered by barcode instead of product id.</w:t>
      </w:r>
    </w:p>
    <w:p>
      <w:pPr>
        <w:pStyle w:val="BodyText"/>
      </w:pPr>
      <w:r>
        <w:t>Every mutation is audited (inventory.warehouse_staff.*, inventory.goods_receipt.created / received / cancelled, inventory.pick_list.created / assigned / picked / packed / dispatched / cancelled, inventory.stock_count.created / reconciled / cancelled) and every stock effect goes through the same per-warehouse balance / roll-up / movement path the Inventory Management pass built, so on-hand stays explainable. The admin Inventory screen gains a Warehouse ops tab with Staff, Goods receipts, Pick lists and Stock counts sub-views, and the Warehouses tab’s location panel now shows and sets a bin’s kind. Seed data adds a Warehouse Manager login (William Opio, w.opio@morise-holdings.com), warehouse staff for Morise Agro Ltd’s MAIN warehouse (a manager, a picker / packer and a receiver), five functional bins (receiving / storage / packing / dispatch / quarantine), a draft goods receipt against AgroChem Uganda Ltd, a pending pick list built from a confirmed storefront order, and an open cycle-count session.</w:t>
      </w:r>
    </w:p>
    <w:p>
      <w:pPr>
        <w:pStyle w:val="BodyText"/>
      </w:pPr>
      <w:r>
        <w:t>Every requested feature now maps to something running: multiple warehouses, warehouse locations and stock transfers (Inventory Management pass), bin management (functional bins), receiving (goods receipts), picking / packing / dispatch (pick lists), warehouse staff management, warehouse stock counts and inventory reconciliation (stock counts), and barcode scanning (barcode lookup + line entry). Verified end to end: receiving a draft goods receipt raises the warehouse balance and the roll-up; a pick list runs pending → picked (stock issued) → packed → dispatched and carries a linked order to out_for_delivery; re-dispatching or re-receiving returns 409; a stock count reconciles, writing the variance and posting the count adjustment; a barcode resolves to its product; a caller without product.manage gets 403 on every write. nest build, admin vite build and the OpenAPI regeneration (317 paths / 401 operations) are clean.</w:t>
      </w:r>
    </w:p>
    <w:p>
      <w:pPr>
        <w:pStyle w:val="Heading2"/>
      </w:pPr>
      <w:r>
        <w:t>Impact on this document</w:t>
      </w:r>
    </w:p>
    <w:p>
      <w:pPr>
        <w:pStyle w:val="BodyText"/>
      </w:pPr>
      <w:r>
        <w:t>Process — assign warehouse staff by role → receive inbound goods against a document → put away to a bin → raise a pick list from an order → pick (stock issued) → pack → dispatch (order → out_for_delivery) → count and reconcile. All steps run in the system now.</w:t>
      </w:r>
    </w:p>
    <w:p>
      <w:pPr>
        <w:pStyle w:val="Heading1"/>
      </w:pPr>
      <w:r>
        <w:t>Implementation Status Update 81 (2 September 2026) — Asset Management: Categories, Inspections, Insurance &amp; Asset History</w:t>
      </w:r>
    </w:p>
    <w:p>
      <w:pPr>
        <w:pStyle w:val="BodyText"/>
      </w:pPr>
      <w:r>
        <w:t>An administrator asked to add and implement an “Asset Management” section for every asset owned by Multi Holdings and its subsidiaries, covering asset registration, categories, asset numbers, location, custodian, purchase information, supplier information, asset value, depreciation, transfer, maintenance, disposal, inspection, insurance, documents and history (examples: vehicles, buildings, computers, machinery, furniture, equipment, land, office equipment). The Sprint-11 Asset Service already covered registration, asset numbers, location (branch), custodian, purchase date / cost, straight-line depreciation with GL posting, asset value (net book value), transfer (including cross-company), maintenance logging, and the request → approve → dispose workflow with a derecognition entry. This pass builds the rest.</w:t>
      </w:r>
    </w:p>
    <w:p>
      <w:pPr>
        <w:pStyle w:val="BodyText"/>
      </w:pPr>
      <w:r>
        <w:t>Migration 20260902120000_asset_management adds asset_categories (a first-class category with a code, a name and depreciation defaults — method, useful life in years, salvage as a percentage of cost — that a newly-registered asset inherits unless the registration overrides them); asset_inspections (a periodic condition inspection: date, inspector, a condition rating of excellent / good / fair / poor / unserviceable, findings, action required and a next-due date, distinct from the one-off inspection notes inside the disposal workflow); asset_insurance_policies (a first-class policy: insurer, policy number, cover amount, premium, term and a status of active / expired / cancelled, superseding the three inline insurer / policy-number / expiry fields, which are kept in step with the latest policy for backward compatibility); and asset_events (an append-only asset-history row written by every lifecycle action). The Asset record itself gains category_id, supplier_id (a link to the Supplier master), purchase_reference (PO / invoice number) and warranty_expiry_date.</w:t>
      </w:r>
    </w:p>
    <w:p>
      <w:pPr>
        <w:pStyle w:val="BodyText"/>
      </w:pPr>
      <w:r>
        <w:t>New endpoints sit under the existing asset.manage / asset.viewAll / asset.approve.disposal permissions — no new permission. GET / POST /assets/categories and PATCH /assets/categories/:id manage categories. GET / POST /assets/:id/inspections record and list inspections. GET / POST /assets/:id/insurance and PATCH /assets/insurance/:policyId manage insurance policies. GET /assets/:id/history returns the chronological event timeline. Four reports are exposed at GET /assets/reports/*: register (the fixed-asset register — cost, accumulated depreciation, net book value, category, custodian, location, per asset with totals), depreciation-schedule (per straight-line asset: annual charge, accumulated, NBV, years remaining), insurance-expiring (policies already expired or within N days of expiry) and inspections-due (assets whose next inspection date has passed or falls within N days). Registration also auto-generates the asset number as AST-YYYY-NNNN when one is not supplied, and inherits the category's depreciation defaults.</w:t>
      </w:r>
    </w:p>
    <w:p>
      <w:pPr>
        <w:pStyle w:val="BodyText"/>
      </w:pPr>
      <w:r>
        <w:t>Every lifecycle action — registration, record update, transfer, depreciation, maintenance, inspection, insurance add / update, and each disposal step — now writes an asset_events row, so GET /assets/:id/history is a single chronological read rather than six tables stitched together. Every mutation is also audited as before (asset.category.created / updated, asset.inspection.recorded, asset.insurance.added / updated). The admin Assets screen gains a Categories manager, and each asset opens a detail dialog with Overview, Inspections, Insurance and History tabs; the registration form gains a category picker, supplier / purchase-reference / warranty fields and an optional (auto-generated) asset number. Seed data adds eight asset categories for Morise Agro Ltd (Vehicles, Buildings, Computers, Machinery, Furniture, Equipment, Land, Office Equipment) with depreciation defaults, links the three seeded assets to a category / supplier / purchase reference, backfills their history events, and adds an inspection and a first-class insurance policy on the Toyota Hilux.</w:t>
      </w:r>
    </w:p>
    <w:p>
      <w:pPr>
        <w:pStyle w:val="BodyText"/>
      </w:pPr>
      <w:r>
        <w:t>Asset documents remain a text document_reference on the record — the same deferred object-storage gap this project carries for company logos, employee documents and supplier contracts. Verified end to end: a category's defaults flow into a new asset; the asset number auto-generates; the history timeline shows registration, inspection and insurance events in order; the register and depreciation-schedule reports total correctly; the insurance-expiring and inspections-due reports pick up the seeded policy and a new inspection; a caller without asset.manage gets 403 on every write. nest build, admin vite build and the OpenAPI regeneration (327 paths / 414 operations) are clean.</w:t>
      </w:r>
    </w:p>
    <w:p>
      <w:pPr>
        <w:pStyle w:val="Heading2"/>
      </w:pPr>
      <w:r>
        <w:t>Impact on this document</w:t>
      </w:r>
    </w:p>
    <w:p>
      <w:pPr>
        <w:pStyle w:val="BodyText"/>
      </w:pPr>
      <w:r>
        <w:t>Process — register by category (depreciation defaults inherited) → record the supplier and PO → depreciate → inspect periodically → insure and renew → transfer / maintain → request → approve → dispose → read the full history and the register / depreciation-schedule / insurance-expiring / inspections-due reports. All steps run in the system now.</w:t>
      </w:r>
    </w:p>
    <w:p>
      <w:pPr>
        <w:pStyle w:val="Heading1"/>
      </w:pPr>
      <w:r>
        <w:t>Implementation Status Update 82 (2 September 2026) — Fleet &amp; Vehicle Management Module</w:t>
      </w:r>
    </w:p>
    <w:p>
      <w:pPr>
        <w:pStyle w:val="BodyText"/>
      </w:pPr>
      <w:r>
        <w:t>An administrator asked to add and implement a “Fleet and Vehicle Management” section covering vehicle registration, vehicle ownership, driver assignment, vehicle tracking, fuel management, mileage, service schedules, repairs, insurance, inspection, licence renewal, accident records, vehicle expenses and fuel-consumption reports. This ships as a new Fleet module, a fleet register that sits on top of — and optionally links to — the Asset module (a vehicle asset already carries purchase cost, depreciation, first-class insurance policies and periodic inspections from the Asset Management pass).</w:t>
      </w:r>
    </w:p>
    <w:p>
      <w:pPr>
        <w:pStyle w:val="BodyText"/>
      </w:pPr>
      <w:r>
        <w:t>Migration 20260902130000_fleet_management adds vehicles (registration number unique per company, make / model / year / VIN / colour, fuel type, ownership type of owned / leased / financed / hired with an owner name for a lessor or financier, acquisition date, current odometer, a manual last-known-location, status of active / in_service / off_road / sold / written_off, and an optional 1:1 link to an Asset) plus eight child tables: vehicle_driver_assignments (one active per vehicle, the previous auto-ended on reassignment), vehicle_odometer_readings (the mileage history — also written from fuel and service entries), fuel_logs (date, litres, cost, odometer, station, filled-to-full flag), service_schedules (an interval in km and/or days with a computed next-due odometer and date), service_records (kind service or repair, tied optionally to a schedule which it then advances), vehicle_renewals (road licence, inspection certificate, PSV permit, insurance, road worthiness or other, with a reference, expiry date and cost), accident_records (severity, description, driver, third-party flag, estimated cost, insurance-claim and police-report references, resolved flag) and vehicle_expenses (a rolled-up log — a fuel log, a service / repair record and a paid renewal each auto-create a matching expense line, and manual lines can be added).</w:t>
      </w:r>
    </w:p>
    <w:p>
      <w:pPr>
        <w:pStyle w:val="BodyText"/>
      </w:pPr>
      <w:r>
        <w:t>A new fleet.manage / fleet.viewAll permission pair is added (domain operations) and granted the same way delivery.* was: manage + viewAll to Super Administrator, Managing Director, IT Administrator and Operations Manager; manage (own scope) to Branch Manager and the Warehouse Manager; viewAll to Group CEO, Auditor, External Auditor, Board Member and the Read-only User. Endpoints sit under /api/v1/fleet: GET / POST /fleet/vehicles, GET / PATCH /fleet/vehicles/:id, GET /fleet/vehicles/:id/summary, POST /fleet/vehicles/:id/location; GET / POST /fleet/vehicles/:id/assignments and POST /fleet/assignments/:id/end; GET / POST /fleet/vehicles/:id/odometer and .../fuel; GET / POST /fleet/vehicles/:id/service-schedules, PATCH /fleet/service-schedules/:id, GET / POST /fleet/vehicles/:id/service-records; GET / POST /fleet/vehicles/:id/renewals; GET / POST /fleet/vehicles/:id/accidents and PATCH /fleet/accidents/:id; GET / POST /fleet/vehicles/:id/expenses.</w:t>
      </w:r>
    </w:p>
    <w:p>
      <w:pPr>
        <w:pStyle w:val="BodyText"/>
      </w:pPr>
      <w:r>
        <w:t>Five reports are exposed at GET /fleet/reports/*: fleet-register (every vehicle with its key attributes and odometer), fuel-consumption (per vehicle: fills, litres, cost, distance from consecutive full-to-full fills, L/100km, km/L and cost/km, with a date range), expenses (per vehicle and per category totals with cost/km, date-ranged), renewals-due (renewals already expired or within N days of expiry) and service-due (schedules past their next-due odometer or date). GET /fleet/vehicles/:id/summary rolls these up for one vehicle — active driver, services due, next renewal, year-to-date expense by category and lifetime fuel economy. Every mutation is audited (fleet.vehicle.registered / updated, fleet.driver.assigned, fleet.fuel.logged, fleet.odometer.logged, fleet.service.recorded / repair.recorded, fleet.renewal.recorded, fleet.accident.recorded / updated, fleet.expense.recorded).</w:t>
      </w:r>
    </w:p>
    <w:p>
      <w:pPr>
        <w:pStyle w:val="BodyText"/>
      </w:pPr>
      <w:r>
        <w:t>Live GPS telematics is out of scope — “vehicle tracking” here is the odometer history plus a manual last-known-location. Vehicle inspection and insurance are covered by the linked asset’s AssetInspection / AssetInsurancePolicy records (Asset Management pass, 2 September 2026); the fleet module adds the statutory renewals a vehicle also needs. The admin app gains a new Fleet screen (nav entry under Admin / Backend, route /fleet, gated on fleet.manage / fleet.viewAll) with a vehicle register, a per-vehicle detail dialog (Summary / Drivers / Fuel / Odometer / Service / Renewals / Accidents / Expenses tabs) and a Reports tab. Seed data adds three vehicles for Morise Agro Ltd (the Toyota Hilux linked to asset AST-0001, an Isuzu FRR truck and a leased Toyota HiAce), a driver assignment, three fuel logs, a service schedule with a completed service, a repair, three renewals (one expired), an unresolved accident and the matching vehicle-expense lines. Verified end to end: fuel economy computes from full-to-full fills; a scheduled service advances the schedule’s next-due; reassigning a driver auto-ends the previous assignment; the fuel-consumption / expenses / renewals-due / service-due reports total correctly; a caller without fleet.manage gets 403 on every write while the Warehouse Manager (granted fleet.manage) can register a vehicle. nest build, admin vite build and the OpenAPI regeneration (347 paths / 444 operations) are clean.</w:t>
      </w:r>
    </w:p>
    <w:p>
      <w:pPr>
        <w:pStyle w:val="Heading2"/>
      </w:pPr>
      <w:r>
        <w:t>Impact on this document</w:t>
      </w:r>
    </w:p>
    <w:p>
      <w:pPr>
        <w:pStyle w:val="BodyText"/>
      </w:pPr>
      <w:r>
        <w:t>Process — register a vehicle (optionally against its asset) → assign a driver → log fuel and odometer → run scheduled services and repairs → keep the road licence / inspection certificate / PSV permit current → record any accident and its claim → review cost per km and the fuel-consumption / expenses / renewals-due / service-due reports.</w:t>
      </w:r>
    </w:p>
    <w:p>
      <w:pPr>
        <w:pStyle w:val="Heading1"/>
      </w:pPr>
      <w:r>
        <w:t>Implementation Status Update 83 (2 September 2026) — Remaining Feature Catalogue (Sections 17-57) &amp; Notifications and Alerts</w:t>
      </w:r>
    </w:p>
    <w:p>
      <w:pPr>
        <w:pStyle w:val="BodyText"/>
      </w:pPr>
      <w:r>
        <w:t>An administrator asked to add, update and implement the remaining feature specification — sections 17 through 57 of the master requirements. This is a catalogue of ~40 areas spanning Project, Contract, Legal and Document Management; Approval Workflow; Expense, Loan, Investment and Shareholding Management; Board &amp; Corporate Governance; Customer Support; Communication; Marketing; Business Intelligence &amp; Reporting; Audit Management; the System Audit Trail; Tax and Multi-Currency Management; Multi-Branch and Inter-Company Transactions; Consolidated Financial Management; role-based BI Dashboards; Notifications &amp; Alerts; Mobile Access; Security; Backup &amp; Disaster Recovery; Integrations; API Management; Configuration &amp; Administration; Search &amp; Filtering; Data Import/Export; Workflow &amp; Automation; Business Process Management; Performance &amp; KPI Management; Compliance; Exit &amp; Employee Separation; Data Protection; the recommended System Architecture; the recommended module list; the group Key Advantage; and the phased development approach. This update records the whole block against the running system and ships one implementation from it.</w:t>
      </w:r>
    </w:p>
    <w:p>
      <w:pPr>
        <w:pStyle w:val="BodyText"/>
      </w:pPr>
      <w:r>
        <w:t>Already BUILT (with running code). Project Management — src/projects (registration, manager assignment, teams, tasks, task assignment, milestones, timelines, budget, profitability, status lifecycle; project cost = its paid expenses). Expense Management — src/expenses (claims, category, receipt reference, two-step manager/finance approval, payment posting a balanced journal entry). Customer Support — src/support (SupportTicket: category, priority, open→resolved, assignment). System Audit Trail — src/common/audit + GET /audit/logs + the PermissionsGuard recording every access_denied centrally; each row carries user, company, date/time, action, entity, previous and new value. Inter-Company Transactions — src/inter-company (loan / transfer / service-charge / cost-allocation, each posting two independently balanced journal entries) plus cross-company asset transfer. Consolidated Financial Management — ?consolidated=true income statement and balance sheet, management-accounts and budget-vs-actual across a holding company. Multi-Branch — the Branch entity with BR-01 branch scoping on employees, customers, products, warehouses, vehicles and assets, plus a branch-scoped dashboard. Business Intelligence &amp; Dashboards — src/dashboard (group and subsidiary financial position, monthly revenue / expense / profit-and-loss / cash-flow charts, company performance comparison, financial and operational alerts), src/finance overview, src/hr-dashboard, and the nine financial statements at /accounting/reports/*. Security — JWT + refresh tokens, a configurable password policy (FR-AUTH-04), account lockout / unlock, session refresh, role- plus company- / branch- / department-scoped permissions, direct grant/revoke on top of roles, delegated administration, and the audit trail. API Management — a generated OpenAPI / Swagger document (openapi.json, /api/v1/docs) covering 349 paths. Configuration &amp; Administration — company-specific policies, the role and permission catalogue, financial periods, and consistent document numbering (JE-, GRN-, PICK-, AST-, CNT- …). Workflow &amp; Automation — the sales, procurement / accounts-payable, employee-lifecycle, expense and contract-expiry workflows all exist as coded state machines. Performance &amp; KPI — src/performance (review cycles, objectives / KPIs, self- and manager assessment) plus the payroll bonus and the dashboard company comparison.</w:t>
      </w:r>
    </w:p>
    <w:p>
      <w:pPr>
        <w:pStyle w:val="BodyText"/>
      </w:pPr>
      <w:r>
        <w:t>PARTIAL (thin, or delivered through another entity). Contract Management — only a text contract reference and expiry date on the Supplier record, now surfaced in the alert feed; no first-class Contract entity for customer / employee / service / lease / partnership agreements, no renewal-reminder configuration, no contract documents / approvals / history. Investment Management and Shareholding Management — the holding structure is modelled (Company parent / subsidiary, relationship type subsidiary / associate, ownership percentage) but there is no Investment or Shareholder register, valuation, dividend or share-transfer handling. Tax Management — Uganda PAYE and NSSF are computed in payroll and VAT is carried on orders and invoices, but there is no tax-configuration module, no withholding tax, tax returns or reconciliation. Multi-Currency — a currency code is stored on orders, invoices and payables, but there is no exchange-rate table, conversion, FX gain/loss or multi-currency reporting. Approval Workflow — concrete approvals are built (expense two-step, AP invoice submit→approve, asset disposal request→approve→execute, leave) and are now aggregated as pending-approval alerts, but there is no configuration engine keyed by amount / department / branch / role. Communication and Marketing — an in-process notification service, the storefront newsletter and admin-managed FAQ / social links, discount codes, promo banners and CMS content pages exist; internal messaging, real email / SMS / push transport, and marketing campaigns / segmentation / leads / ROI do not. Search &amp; Filtering — every list endpoint takes filter[…] parameters, but there is no single global-search endpoint. Data Import / Export — reports export to CSV and PDF; there is no bulk Excel / CSV import. Mobile Access — both React apps use responsive layout, but there is no dedicated mobile client and some dense admin screens assume a desktop. Compliance and Data Protection — the expiry alerts, RBAC and scope access restrictions and masked sensitive fields are in place; a compliance register, checklists, field-level encryption at rest and a data-retention policy are not.</w:t>
      </w:r>
    </w:p>
    <w:p>
      <w:pPr>
        <w:pStyle w:val="BodyText"/>
      </w:pPr>
      <w:r>
        <w:t>PLANNED (no code yet). Legal Management — no legal-case, litigation, lawyer, permit / licence register or legal-deadline entities. Document Management — the project-wide object-storage gap: every “documents” feature (company logos, employee documents, supplier contracts, asset documents, project documents) is a text reference, not an upload / version / preview / signature store; there is no Document entity, versioning, digital signatures or a document-specific audit trail. Loan &amp; Financing Management — only the short-term SalaryAdvance (auto-recovered from payroll) exists; there is no loan facility, applications, repayment schedules, interest calculation or loan statements. Board &amp; Corporate Governance — no board-member, meeting, agenda, minutes, resolution, committee or voting entities. Audit Management — the audit TRAIL is built; audit MANAGEMENT (audit planning, internal / external audit engagements, findings, corrective actions, follow-ups) is not. Backup &amp; Disaster Recovery — only the Docker Postgres volume; no scheduled / cloud backup, replication, restore tooling or backup verification. Integration Features — none of the external integrations (banks, mobile money, payment gateways, real email / SMS gateways, tax systems, biometric devices, GPS / fleet telematics, cloud storage) are built; Google login and the Kafka event bus are seams only. Business Process Management — no workflow designer or configurable approval-level engine. Exit &amp; Employee Separation — an employment end date and status exist, but there is no resignation / termination / retirement workflow, exit interview, clearance checklist, final-pay or benefits calculation, or certificate generation.</w:t>
      </w:r>
    </w:p>
    <w:p>
      <w:pPr>
        <w:pStyle w:val="BodyText"/>
      </w:pPr>
      <w:r>
        <w:t>System Architecture (section 54) and phasing (section 57). The running stack already matches the recommendation's core — Node.js LTS, NestJS, Fastify, PostgreSQL, Redis, Prisma, REST / OpenAPI, JWT with refresh tokens, class-validator, Docker. The distributed pieces (a microservices split, Kafka event streaming, Jaeger / EFK tracing, Prometheus / Grafana, Ansible, Certbot, iRedMail, Zulip / Slack) are explicitly deferred: this proof-of-concept is a single modular NestJS service with the Kafka consumer seam stubbed (AuditService is called directly and synchronously), exactly as 07_System Design Document records. Against the phased approach: Phase 1 (Core) is complete; Phase 2 (Business Operations — sales, procurement, inventory, warehouse, expenses, assets, projects) is complete; Phase 3 (Advanced Finance — payroll incl. salary structures, budgeting, banking through the GL, inter-company, consolidated accounting) is largely complete, with loans, investments and a tax module the gaps; Phase 4 (Enterprise Management — HR is deep, CRM = the customer master plus support, BI is substantial) is partial, with contracts, legal, compliance, board management and document management outstanding; Phase 5 (Integration &amp; Security — the UI is responsive, OpenAPI is generated) is minimal, with API keys, integrations, 2FA, automated backup and disaster recovery all outstanding.</w:t>
      </w:r>
    </w:p>
    <w:p>
      <w:pPr>
        <w:pStyle w:val="BodyText"/>
      </w:pPr>
      <w:r>
        <w:t>IMPLEMENTED THIS PASS — Notifications &amp; Alerts (section 39). A new src/alerts module exposes GET /api/v1/alerts and GET /api/v1/alerts/summary: a single cross-module feed, derived at request time (no schema, no new permission, read-only) from eleven sources — accounts-receivable invoices overdue, accounts-payable invoices overdue, pending approvals (expense claims at the manager and finance step, supplier invoices, asset disposals and leave requests, as grouped counts), supplier contracts expiring or expired, vehicle statutory renewals due or expired, vehicle service schedules due (by date or by odometer), asset insurance policies expiring, asset inspections due, products below their minimum or reorder point (or out of stock), stock batches expiring, and projects nearing or past their planned end date. Each alert carries a severity (critical = already overdue / expired, warning = within the window, info), a category, the owning company, a title, a detail line, the linked entity, a date and an amount where relevant. The feed is filtered to the caller's company scope per BR-01 unless they hold organization.company.viewAll, takes a days window (default 30, up to 365), and accepts category and severity filters; /summary returns counts by severity and by category with an overdue-versus-upcoming split. The admin app gains an Alerts screen (navigation under Admin / Backend, route /alerts) with a severity KPI row, clickable category chips and a filterable table. Verified end to end against the seeded data (17 alerts across 8 categories, correctly ranked and scope-filtered); nest build and admin vite build clean; openapi.json regenerated (347 → 349 paths, 446 operations).</w:t>
      </w:r>
    </w:p>
    <w:p>
      <w:pPr>
        <w:pStyle w:val="Heading2"/>
      </w:pPr>
      <w:r>
        <w:t>Impact on this document</w:t>
      </w:r>
    </w:p>
    <w:p>
      <w:pPr>
        <w:pStyle w:val="BodyText"/>
      </w:pPr>
      <w:r>
        <w:t>Process — the named workflows (sales lead→payment, requisition→payment, application→exit, expense→accounting, contract draft→renewal) exist as coded state machines; a configuration-free designer (section 49) is the gap. The alert feed adds a standing “what needs attention today” step across every process.</w:t>
      </w:r>
    </w:p>
    <w:p>
      <w:pPr>
        <w:pStyle w:val="Heading1"/>
      </w:pPr>
      <w:r>
        <w:t>Implementation Status Update 84 (2 September 2026) — Final System Objective &amp; the Executive Answer Layer</w:t>
      </w:r>
    </w:p>
    <w:p>
      <w:pPr>
        <w:pStyle w:val="BodyText"/>
      </w:pPr>
      <w:r>
        <w:t>An administrator asked to add, update and implement the Final System Objective — the closing statement of the master specification. It states that the finished Morise Holdings Limited system should be a single centralized platform for managing the entire group while keeping proper separation between companies, branches, departments and users, and that it should let management answer a fixed set of seventeen questions: how much money the group has; which subsidiary makes the most profit; which is underperforming; how much each company owes suppliers; how much customers owe the group; what assets each company owns; how many employees the group has; how much is spent on salaries; which projects are profitable; which contracts are about to expire; which vehicles require servicing; which stock items are running low; which payments require approval; how much each department has spent; how group investments are performing; what the current liabilities are; and what the consolidated financial position of the entire group is. The resulting platform is characterised as an ERP + HRM + CRM + Accounting + Inventory + Procurement + Project Management + Asset Management + Corporate Governance system structured specifically for Morise Holdings Limited.</w:t>
      </w:r>
    </w:p>
    <w:p>
      <w:pPr>
        <w:pStyle w:val="BodyText"/>
      </w:pPr>
      <w:r>
        <w:t>The separation model the objective demands is already the spine of the build: BR-01 company / branch / department scoping enforced server-side across every module, a role and permission catalogue with direct grant / revoke and delegated administration, and the group → subsidiary → branch hierarchy in the Organization service, so a Group role sees consolidated information while a subsidiary-scoped user sees only their own company (the “centralized group management with controlled subsidiary independence” of section 56). The module coverage the objective names is substantially in place: Accounting and Finance (chart of accounts, journals, periods, AR, AP, nine financial statements, consolidated variants), HR and Payroll, CRM (the customer master plus support), Inventory and Warehouse operations, Procurement’s supplier and accounts-payable tail, Project Management, Asset Management, Fleet, and the group dashboards.</w:t>
      </w:r>
    </w:p>
    <w:p>
      <w:pPr>
        <w:pStyle w:val="BodyText"/>
      </w:pPr>
      <w:r>
        <w:t>IMPLEMENTED THIS PASS — the executive answer layer. A new src/executive module exposes GET /api/v1/executive/questions and GET /api/v1/executive/overview. /questions returns the seventeen questions each with a plain-language answer computed from live data, a numeric value, a unit (money / count), a status (answered / partial / planned) and, where useful, a per-company or per-item breakdown. /overview returns the same figures as a compact key-value summary for a dashboard tile. Both are filtered to the caller’s company scope per BR-01: a user holding organization.company.viewAll gets the whole group; a subsidiary-scoped user gets only their companies, and the answers (net profit, cash, receivables, payables, headcount, salary bill, liabilities, consolidated position) recompute for that narrower set. The answers draw on the existing DashboardService financials (per-company assets, liabilities, cash, receivables, payables, revenue, expense, net profit and their group totals) plus direct queries for asset net book value, active headcount and the monthly gross-salary bill, project profitability (recorded revenue less attributed paid expenses), supplier contracts expiring within 60 days, vehicle service schedules due by date or odometer, products below their minimum or reorder point, pending approvals (expense claims at the manager and finance step plus supplier invoices), and paid expenses grouped by department. Two answers are marked partial — “which contracts are about to expire?” covers only supplier contracts today, and “how much has each department spent?” counts only paid expenses — and one is marked planned — “how are group investments performing?”, pending a first-class Investment register.</w:t>
      </w:r>
    </w:p>
    <w:p>
      <w:pPr>
        <w:pStyle w:val="BodyText"/>
      </w:pPr>
      <w:r>
        <w:t>Read-only; no schema change; no new permission. The admin app gains an Executive Q&amp;A screen (navigation under the Financial &amp; Accounting category, route /executive) with a six-tile key-figure strip and one card per question, each showing its status, its plain-language answer, its headline value and an expandable breakdown table. Verified end to end: the Managing Director sees all seventeen answers for the whole group; a subsidiary-scoped Branch Manager sees the same seventeen recomputed for their one company (headcount, net profit and the top-subsidiary line all narrow correctly). nest build and admin vite build clean; openapi.json regenerated (349 → 351 paths, 448 operations). This completes the documentation pass over the master specification: sections 1-16 were built across Sprints 1-16 and Updates 26-69, sections 17-57 were catalogued in Update 83 with the Notifications &amp; Alerts feed shipped, and the Final System Objective is answered here.</w:t>
      </w:r>
    </w:p>
    <w:p>
      <w:pPr>
        <w:pStyle w:val="Heading2"/>
      </w:pPr>
      <w:r>
        <w:t>Impact on this document</w:t>
      </w:r>
    </w:p>
    <w:p>
      <w:pPr>
        <w:pStyle w:val="BodyText"/>
      </w:pPr>
      <w:r>
        <w:t>Process — management asks one of the seventeen questions — the system answers it immediately from the current data, at the group level or narrowed to the manager's own companies, with a drill-down to the per-company figures.</w:t>
      </w:r>
    </w:p>
    <w:p>
      <w:pPr>
        <w:pStyle w:val="Heading1"/>
      </w:pPr>
      <w:r>
        <w:t>Implementation Status Update 85 (2 September 2026) — Payroll Payslips Visible to Staff on Approval</w:t>
      </w:r>
    </w:p>
    <w:p>
      <w:pPr>
        <w:pStyle w:val="BodyText"/>
      </w:pPr>
      <w:r>
        <w:t>An administrator asked that, once a payroll run is approved for a company, that company's staff and members be able to view their own payslip in the My Payslips section of My HR in the admin application — without waiting for the run to be paid. Until now a payslip only appeared to its owner after the payroll run had been marked paid; between approval and payment the employee could see nothing, even though the run's figures were already final.</w:t>
      </w:r>
    </w:p>
    <w:p>
      <w:pPr>
        <w:pStyle w:val="BodyText"/>
      </w:pPr>
      <w:r>
        <w:t>My HR is the employee self-service area of the admin app: every screen is scoped to the signed-in user through the Employee.userId link, so a person sees only their own attendance, leave, shifts, performance, payslips and salary advances. My Payslips is backed by GET /api/v1/my-hr/payslips, which returned the caller's payslip rows whose payroll run had reached status paid — each with the period, the pay date, gross pay, PAYE, NSSF (employee and employer), salary-advance recovery, other deductions, net pay and the earnings breakdown.</w:t>
      </w:r>
    </w:p>
    <w:p>
      <w:pPr>
        <w:pStyle w:val="BodyText"/>
      </w:pPr>
      <w:r>
        <w:t>IMPLEMENTED THIS PASS. GET /api/v1/my-hr/payslips now returns a payslip as soon as its payroll run is approved: the run-status filter widened from paid to approved-or-paid, and each row now also carries the run status (approved or paid) and the approvedAt date alongside paidAt. Draft and cancelled runs stay invisible, and the per-employee scoping is unchanged — a staff member still sees only their own payslip. POST /api/v1/payroll/runs/:id/approve now notifies every run member who has a login, the same way the pay step already did: each linked employee gets a “Your payslip for &lt;month&gt; &lt;year&gt; is ready to view” notification pointing at My HR → My Payslips, and the payment-time notification was reworded to “Your &lt;month&gt; &lt;year&gt; pay has been released.”</w:t>
      </w:r>
    </w:p>
    <w:p>
      <w:pPr>
        <w:pStyle w:val="BodyText"/>
      </w:pPr>
      <w:r>
        <w:t>The My Payslips screen (mbms/frontend/src/pages/MyHr.jsx) gains a Status column — an amber “Approved · awaiting payment” badge until the run is paid, then a green “Paid · &lt;date&gt;” badge — and the same status line in the payslip detail dialog; the empty-state text now reads “… once a payroll run that includes you has been approved.” Read-only widening of an existing endpoint: no schema change, no migration, no new permission. Verified end to end against the seeded data: a holding-company staff member with a login sees the approved August 2026 run's payslip immediately (status approved, no pay date); a freshly created draft run's payslips stay invisible; approving a run fires exactly one notification per member with a login; paying the run flips the badge to Paid. nest build and admin vite build clean; openapi.json unchanged (351 paths / 448 operations / 175 schemas).</w:t>
      </w:r>
    </w:p>
    <w:p>
      <w:pPr>
        <w:pStyle w:val="Heading2"/>
      </w:pPr>
      <w:r>
        <w:t>Impact on this document</w:t>
      </w:r>
    </w:p>
    <w:p>
      <w:pPr>
        <w:pStyle w:val="BodyText"/>
      </w:pPr>
      <w:r>
        <w:t>Process — payroll is approved for a company → each member with a login is notified and can open My HR → My Payslips to view their payslip, marked “Approved · awaiting payment”; when the run is paid the same payslip flips to “Paid” with the payment date.</w:t>
      </w:r>
    </w:p>
    <w:p>
      <w:pPr>
        <w:pStyle w:val="Heading1"/>
      </w:pPr>
      <w:r>
        <w:t>Implementation Status Update 86 (2 September 2026) — Alerts on the Admin Bell, Routed by Department</w:t>
      </w:r>
    </w:p>
    <w:p>
      <w:pPr>
        <w:pStyle w:val="BodyText"/>
      </w:pPr>
      <w:r>
        <w:t>An administrator asked that the Alerts feed introduced in Update 83 show up on the admin app's bell icon as notifications, and that every logged-in admin staff member see those notifications filtered to their own department. Until now the Alerts feed lived only on its own screen (GET /api/v1/alerts); the bell showed workflow notifications pushed explicitly by individual modules, and nothing routed anything by department.</w:t>
      </w:r>
    </w:p>
    <w:p>
      <w:pPr>
        <w:pStyle w:val="BodyText"/>
      </w:pPr>
      <w:r>
        <w:t>The Alerts feed is a single cross-module list of time-sensitive things that need attention — overdue customer and supplier invoices, pending approvals, expiring supplier contracts, vehicle statutory renewals and services due, asset insurance and inspections, stock below its minimum, expiring stock batches and project deadlines — each derived live from the module that owns it and filtered to the caller's company scope (BR-01). The bell is a per-user in-app feed: a Notification row per recipient, polled every 20 seconds for its unread count, with no scheduler or push infrastructure in this proof-of-concept.</w:t>
      </w:r>
    </w:p>
    <w:p>
      <w:pPr>
        <w:pStyle w:val="BodyText"/>
      </w:pPr>
      <w:r>
        <w:t>IMPLEMENTED THIS PASS. Every alert is now tagged with the department responsible for acting on it. Where the source record carries a department (projects) that column is used; otherwise the owning function is matched, case-insensitively and as a substring, against that company's own department names — so overdue invoices route to Finance / Billing, expiring contracts to Procurement, vehicle renewals and services to Fleet / Logistics / Distribution, stock and batch alerts to Warehouse / Inventory, and pending-approval queues by queue type (expense and supplier-invoice approvals to Finance, leave approvals to Human Resources). An alert that matches no department is treated as company-wide. A new AlertsService.syncToNotifications(user) mirrors the caller's live alert feed onto their bell as Notification rows of type alert:&lt;category&gt;, reconciling on each read — it creates a row for every alert that has none yet and deletes rows whose underlying alert has cleared, so the bell always reflects the current feed without a scheduler. The sync runs at the top of GET /api/v1/notifications and GET /api/v1/notifications/unread-count, is best-effort (a failure never breaks the feed) and is throttled to one reconcile per user every two minutes.</w:t>
      </w:r>
    </w:p>
    <w:p>
      <w:pPr>
        <w:pStyle w:val="BodyText"/>
      </w:pPr>
      <w:r>
        <w:t>The department filter: a staff member whose department is known — resolved from their linked Employee record, or a department-scoped access grant — sees their department's alerts plus the company-wide ones; a user with group-wide visibility (organization.company.viewAll), or one with no department at all, sees everything already in their company scope, exactly as before. Notification gains a nullable department_id column (migration 20260902140000_notification_department) and the feed now returns the routed department id and name on each row; the bell marks alert notifications with a warning glyph and shows a small department chip. No new permission, no new endpoint. Verified end to end on the seeded data (fifteen Agro alerts): the Finance &amp; Administration user receives the three overdue-invoice notifications plus the five company-wide pending-approval ones and none of the seven warehouse-routed alerts; the Warehouse &amp; Distribution user receives the stock, batch and vehicle alerts plus the five pending approvals and none of the overdue invoices; a user with no department and the Managing Director (group visibility) receive all fifteen; re-polling never duplicates a row and clearing an alert removes its notification. nest build and admin vite build clean; prisma migrate deploy applied; openapi.json regenerated (351 paths / 448 operations, path order only).</w:t>
      </w:r>
    </w:p>
    <w:p>
      <w:pPr>
        <w:pStyle w:val="Heading2"/>
      </w:pPr>
      <w:r>
        <w:t>Impact on this document</w:t>
      </w:r>
    </w:p>
    <w:p>
      <w:pPr>
        <w:pStyle w:val="BodyText"/>
      </w:pPr>
      <w:r>
        <w:t>Process — an alert becomes true in a module → on the next bell poll it is written to the bell of each in-scope staff member whose department owns it (and of everyone in scope for a company-wide alert) → when the underlying condition clears, the notification is removed on the next poll.</w:t>
      </w:r>
    </w:p>
    <w:p>
      <w:pPr>
        <w:pStyle w:val="Heading1"/>
      </w:pPr>
      <w:r>
        <w:t>Implementation Status Update 87 (2 September 2026) — Alert Notifications Made Visible on the Bell</w:t>
      </w:r>
    </w:p>
    <w:p>
      <w:pPr>
        <w:pStyle w:val="BodyText"/>
      </w:pPr>
      <w:r>
        <w:t>After Update 86 an administrator reported that the alert notifications still did not appear on the admin app's bell for logged-in staff. Investigation with a headless browser showed the cause was purely presentational: the notification dropdown is rendered inside the navy top bar, which sets a white text colour, and the dropdown panel never reset it — so every row was drawn in white text on a white background. The unread count on the bell was correct and the rows were in the DOM; they were simply invisible. This pass fixes the visibility and tightens the department routing.</w:t>
      </w:r>
    </w:p>
    <w:p>
      <w:pPr>
        <w:pStyle w:val="BodyText"/>
      </w:pPr>
      <w:r>
        <w:t>The dropdown panel now sets an explicit dark text colour and opaque white background (and a left text alignment), so the notification title, its detail line, the timestamp and the department chip all render at normal contrast. The department chip uses the standard neutral badge style. No behavioural change to what is shown — only whether it can be seen.</w:t>
      </w:r>
    </w:p>
    <w:p>
      <w:pPr>
        <w:pStyle w:val="BodyText"/>
      </w:pPr>
      <w:r>
        <w:t>Department routing was also made deterministic. Each alert category carries an ordered list of department-name keywords, most-specific owner first; routing now walks that list in order and the first keyword that matches any of the company's departments wins, instead of taking whichever department happened to appear first in the list. So a low-stock alert resolves to “Warehouse &amp; Distribution” on the “warehouse” keyword rather than falling through to a broader “Field Operations”, and a handful of catch-all keywords (field, operations) were added at the end of the vehicle, stock, batch and inspection categories so companies that have only a general operations department still receive those alerts.</w:t>
      </w:r>
    </w:p>
    <w:p>
      <w:pPr>
        <w:pStyle w:val="BodyText"/>
      </w:pPr>
      <w:r>
        <w:t>No schema change, no new endpoint, no new permission — this is the visibility fix for Update 86. Re-verified end to end in the running admin app with three personas: the IT Administrator (group-wide visibility) sees all fifteen seeded Agro alerts on the bell, each with its department chip (Finance &amp; Administration or Warehouse &amp; Distribution); the Finance Manager (scoped, Finance &amp; Administration) sees the three overdue-invoice alerts plus the five company-wide pending-approval alerts and none of the warehouse-routed ones; the Branch Manager (scoped, Field Operations) sees the five company-wide pending-approval alerts. All rows are legible, the ⚠️ marker and the department chip show, and re-polling does not duplicate. nest build and admin vite build clean; openapi.json unchanged.</w:t>
      </w:r>
    </w:p>
    <w:p>
      <w:pPr>
        <w:pStyle w:val="Heading2"/>
      </w:pPr>
      <w:r>
        <w:t>Impact on this document</w:t>
      </w:r>
    </w:p>
    <w:p>
      <w:pPr>
        <w:pStyle w:val="BodyText"/>
      </w:pPr>
      <w:r>
        <w:t>Process — unchanged from Update 86; the alert now shows up readably on the recipient's bell instead of being present but invisible.</w:t>
      </w:r>
    </w:p>
    <w:p>
      <w:pPr>
        <w:pStyle w:val="Heading1"/>
      </w:pPr>
      <w:r>
        <w:t>Implementation Status Update 88 (2 September 2026) — Social Media Channels Managed From One Shared Record</w:t>
      </w:r>
    </w:p>
    <w:p>
      <w:pPr>
        <w:pStyle w:val="BodyText"/>
      </w:pPr>
      <w:r>
        <w:t>An administrator asked to manage the storefront's social media channels from the CMS / Site Builder section of the admin/backend so that a single edit — one handle, one display name, one tagline, one visibility setting — can be pushed to every social media channel at once, and so that adding, updating or deleting all channels is a single click rather than a per-channel chore.</w:t>
      </w:r>
    </w:p>
    <w:p>
      <w:pPr>
        <w:pStyle w:val="BodyText"/>
      </w:pPr>
      <w:r>
        <w:t>A new SocialContent table (migration 20260902150000_social_content) holds exactly one row: the shared content record — an account handle, a display name used as the link label on every channel, a tagline shown above the channel row in the storefront footer, and a shared visibility flag. It sits alongside the existing per-channel SocialLink table, which is unchanged, so a channel can still be added or edited individually as before.</w:t>
      </w:r>
    </w:p>
    <w:p>
      <w:pPr>
        <w:pStyle w:val="BodyText"/>
      </w:pPr>
      <w:r>
        <w:t>Four endpoints were added under the existing cms.manage / cms.viewAll permissions (no new permission): GET and PUT /api/v1/cms/social-content read and save the shared record; POST /api/v1/cms/social-content/apply pushes it onto every channel in one call — with { createMissing: true } it first creates a channel for every supported platform, building each URL from the shared handle, and with { overwriteUrls: true } it rebuilds every channel URL from that handle; DELETE /api/v1/cms/social-content/channels removes every channel at once. The CMS / Site Builder screen gains a “Shared content — one edit, all channels” panel with Save, “Apply to all channels”, “Add &amp; sync every platform” and “Clear all channels” buttons. The storefront footer now shows the shared tagline above the channel icons via a new public GET /api/v1/customer-portal/public/social-content.</w:t>
      </w:r>
    </w:p>
    <w:p>
      <w:pPr>
        <w:pStyle w:val="BodyText"/>
      </w:pPr>
      <w:r>
        <w:t>Verified end to end against the running system: saving the shared record then clicking “Add &amp; sync every platform” created the eight buildable platform channels and set every label and visibility from the record; “Apply to all channels” with the URL-rebuild option on rewrote every channel URL from the handle; “Clear all channels” deleted them all and a re-apply with createMissing rebuilt them; the storefront footer read the shared tagline. Every mutation writes an audit event (cms.social_content.updated / applied / cleared). nest build, admin vite build and storefront vite build all clean; openapi.json regenerated (355 paths, 453 operations).</w:t>
      </w:r>
    </w:p>
    <w:p>
      <w:pPr>
        <w:pStyle w:val="Heading2"/>
      </w:pPr>
      <w:r>
        <w:t>Impact on this document</w:t>
      </w:r>
    </w:p>
    <w:p>
      <w:pPr>
        <w:pStyle w:val="BodyText"/>
      </w:pPr>
      <w:r>
        <w:t>Process — the site-content process gains an “edit once, apply to every channel” step in place of editing each channel by hand.</w:t>
      </w:r>
    </w:p>
    <w:p>
      <w:pPr>
        <w:pStyle w:val="Heading1"/>
      </w:pPr>
      <w:r>
        <w:t>Implementation Status Update 89 (2 September 2026) — Every Social Media Platform Managed From One CMS Roster</w:t>
      </w:r>
    </w:p>
    <w:p>
      <w:pPr>
        <w:pStyle w:val="BodyText"/>
      </w:pPr>
      <w:r>
        <w:t>Following Update 88 (a shared social-content record with a one-click apply to all channels), an administrator asked that the social media channels be managed from the CMS / Site Builder section as one place that reflects every social media platform — so the panel shows all supported platforms as a fixed list, whether or not a channel row exists yet, rather than only the channels that happen to have been added.</w:t>
      </w:r>
    </w:p>
    <w:p>
      <w:pPr>
        <w:pStyle w:val="BodyText"/>
      </w:pPr>
      <w:r>
        <w:t>The CMS / Site Builder “Social media channels” panel is now a fixed roster of every supported platform (Facebook, X, Instagram, LinkedIn, YouTube, TikTok, WhatsApp, Telegram, Other). Each platform is one editable row — URL, label, visibility, order — present at all times; a platform with no URL shows as “not set” with its expected URL shape as a placeholder. Saving a row creates the channel; clearing its URL and saving removes it; the visibility toggle and the up/down order controls act on the platforms that have a row. The per-platform URL placeholder is built from the shared handle in the Update 88 record where one is set.</w:t>
      </w:r>
    </w:p>
    <w:p>
      <w:pPr>
        <w:pStyle w:val="BodyText"/>
      </w:pPr>
      <w:r>
        <w:t>Backing this: the `social_links` table now has a UNIQUE constraint on `platform` (migration 20260902160000_social_link_platform_unique — it de-duplicates any existing rows first, keeping the earliest per platform), so each platform maps to at most one channel. Two endpoints were added under the existing cms.manage / cms.viewAll permissions (no new permission): GET /api/v1/cms/social-links/roster returns all nine platforms in canonical order with any existing row merged in and a URL hint; PUT /api/v1/cms/social-links/platform/:platform creates, updates or (on an explicit empty URL) deletes that platform's single row. The free-form “add a channel” form is replaced by the roster, and the old POST /cms/social-links now rejects a second row for a platform with a clear message. Every mutation is audited as before (cms.social_link.created / updated / deleted).</w:t>
      </w:r>
    </w:p>
    <w:p>
      <w:pPr>
        <w:pStyle w:val="BodyText"/>
      </w:pPr>
      <w:r>
        <w:t>Verified end to end against the running system: the roster returns all nine platforms with the four seeded ones (Facebook, X, Instagram, LinkedIn shown; WhatsApp hidden) merged in and the rest marked “not set”; PUT platform/youtube created a row, PUT platform/facebook updated its URL, PUT platform/whatsapp with an empty URL deleted it, and POST /cms/social-links for an existing platform returned a 409 with the “edit it in the platform roster” message; the storefront footer reflected each change. nest build, admin vite build and storefront vite build all clean; prisma migrate deploy applied; openapi.json regenerated (357 paths, 455 operations). The Update 88 shared-content panel and its one-click apply / add-all / clear-all actions are unchanged and sit above the roster.</w:t>
      </w:r>
    </w:p>
    <w:p>
      <w:pPr>
        <w:pStyle w:val="Heading2"/>
      </w:pPr>
      <w:r>
        <w:t>Impact on this document</w:t>
      </w:r>
    </w:p>
    <w:p>
      <w:pPr>
        <w:pStyle w:val="BodyText"/>
      </w:pPr>
      <w:r>
        <w:t>Process — editing social channels is now a single roster: fill in or clear a platform's URL and save; no separate “add channel” step.</w:t>
      </w:r>
    </w:p>
    <w:p>
      <w:pPr>
        <w:pStyle w:val="Heading1"/>
      </w:pPr>
      <w:r>
        <w:t>Implementation Status Update 90 (3 September 2026) — Automatic Staff Identification Cards for Active Administration Staff</w:t>
      </w:r>
    </w:p>
    <w:p>
      <w:pPr>
        <w:pStyle w:val="BodyText"/>
      </w:pPr>
      <w:r>
        <w:t>An administrator asked that every actively registered administration staff member carry a system-generated staff identification card that is added, updated and issued automatically rather than filled in by hand for each person.</w:t>
      </w:r>
    </w:p>
    <w:p>
      <w:pPr>
        <w:pStyle w:val="BodyText"/>
      </w:pPr>
      <w:r>
        <w:t>A new staff_id_cards table (migration 20260903120000_staff_id_cards) holds exactly one card per employee: a unique card number (MID-XXXXXXXX), an opaque verification code behind the printed QR block, a status of active / revoked / expired, an issue date and a three-year expiry, an optional photo reference and a reissue count. A card is issued automatically the moment an Employee record is created; POST /api/v1/staff-id-cards/generate back-fills a card for every active employee that still lacks one and ages out any card past its expiry; setting an employee inactive revokes the card and bringing them back re-activates it.</w:t>
      </w:r>
    </w:p>
    <w:p>
      <w:pPr>
        <w:pStyle w:val="BodyText"/>
      </w:pPr>
      <w:r>
        <w:t>A new module (src/staff-id-cards) exposes /api/v1/staff-id-cards under two new HR-domain permissions — employee.idcard.manage (issue, reissue, revoke, restore, correct the photo or expiry, run the bulk sweep) and employee.idcard.viewAll (group-wide read). It offers list / summary / get / by-employee / verify-by-code reads plus generate, issue, PATCH, reissue, revoke and restore; every mutation is audited (employee.idcard.issued / reissued / revoked / restored / updated / bulk_generated) and the feed is company-scoped per BR-01. Manage + viewAll are granted to Super Administrator, Managing Director, IT Administrator and the Human Resources Manager; manage within their own scope to the Branch Manager; viewAll to the group oversight roles.</w:t>
      </w:r>
    </w:p>
    <w:p>
      <w:pPr>
        <w:pStyle w:val="BodyText"/>
      </w:pPr>
      <w:r>
        <w:t>The staff Admin app gains a Staff ID Cards screen under Human Resources (a card-face gallery with the Morise mark, the holder's photo or initials and a QR block, plus Generate missing cards / Issue / Edit / Reissue / Revoke / Restore) and a My HR -&gt; My ID Card self-service screen (GET /api/v1/my-hr/id-card, scoped by Employee.userId). Verified end to end against the running system: 11 seeded cards issued, a newly created employee received a card automatically, deactivation revoked it and reactivation restored it, and verify-by-code, reissue and the scoped feed all behaved. nest build, admin vite build and prisma migrate deploy all clean; openapi.json regenerated (367 paths, 467 operations).</w:t>
      </w:r>
    </w:p>
    <w:p>
      <w:pPr>
        <w:pStyle w:val="Heading2"/>
      </w:pPr>
      <w:r>
        <w:t>Impact on this document</w:t>
      </w:r>
    </w:p>
    <w:p>
      <w:pPr>
        <w:pStyle w:val="BodyText"/>
      </w:pPr>
      <w:r>
        <w:t>Process - the 'register an employee' process gains an automatic 'issue identification card' step and 'deactivate / reactivate an employee' now revokes / restores the card; a new administrator sub-process covers manual issue, reissue (lost / damaged), revoke and the periodic bulk generation and expiry sweep.</w:t>
      </w:r>
    </w:p>
    <w:p>
      <w:pPr>
        <w:pStyle w:val="Heading1"/>
      </w:pPr>
      <w:r>
        <w:t>Implementation Status Update 91 (3 September 2026) — Staff Identification Card — Front and Back</w:t>
      </w:r>
    </w:p>
    <w:p>
      <w:pPr>
        <w:pStyle w:val="BodyText"/>
      </w:pPr>
      <w:r>
        <w:t>Following Update 90 (the automatic staff identification card), an administrator asked that the card have a distinct front and a back part rather than a single face.</w:t>
      </w:r>
    </w:p>
    <w:p>
      <w:pPr>
        <w:pStyle w:val="BodyText"/>
      </w:pPr>
      <w:r>
        <w:t>The card resource now carries a back object alongside the front fields. The front is unchanged - logo header, photo or initials, holder name / job title / staff number / company / unit, the QR block, card number and issue / expiry. The back carries the standard conditions of use, an 'if found, return to' block built from the issuing company's registered address and contact, the holder's national ID and emergency contact (read live from the Employee record), an optional blood group and a free-text note (both held on the card), a Code 128-style barcode of the card number and holder / issuing-officer signature lines.</w:t>
      </w:r>
    </w:p>
    <w:p>
      <w:pPr>
        <w:pStyle w:val="BodyText"/>
      </w:pPr>
      <w:r>
        <w:t>Two card-held back fields are added - blood_group and back_notes (migration 20260903140000_staff_id_card_back) - settable on issue and via PATCH /api/v1/staff-id-cards/:id under the existing employee.idcard.manage permission; everything else on the back is derived. GET /api/v1/staff-id-cards* and GET /api/v1/my-hr/id-card all return the new back object; no new endpoint or permission.</w:t>
      </w:r>
    </w:p>
    <w:p>
      <w:pPr>
        <w:pStyle w:val="BodyText"/>
      </w:pPr>
      <w:r>
        <w:t>The shared IdCard.jsx component renders both faces - a 'Show back / Show front' flip on the admin Staff ID Cards gallery, and front-and-back side by side on My HR -&gt; My ID Card. The admin Edit dialog gains Blood group and Back note fields. Verified end to end against the running system (the back object resolves the issuer address from the company and the blood group from the card; PATCH sets both). nest build, admin vite build and prisma migrate deploy all clean; openapi.json unchanged at 367 paths / 467 operations.</w:t>
      </w:r>
    </w:p>
    <w:p>
      <w:pPr>
        <w:pStyle w:val="Heading2"/>
      </w:pPr>
      <w:r>
        <w:t>Impact on this document</w:t>
      </w:r>
    </w:p>
    <w:p>
      <w:pPr>
        <w:pStyle w:val="BodyText"/>
      </w:pPr>
      <w:r>
        <w:t>Process - 'issue / maintain a staff ID card' now also captures an optional blood group and a back note; nothing else in the process changes.</w:t>
      </w:r>
    </w:p>
    <w:p>
      <w:pPr>
        <w:pStyle w:val="Heading1"/>
      </w:pPr>
      <w:r>
        <w:t>Implementation Status Update 92 (3 September 2026) — Staff Identification Card — Back Face Sized to the Front, Blood Group Removed</w:t>
      </w:r>
    </w:p>
    <w:p>
      <w:pPr>
        <w:pStyle w:val="BodyText"/>
      </w:pPr>
      <w:r>
        <w:t>Following Updates 90 and 91 (the automatic staff identification card, then its front and back), an administrator asked for two adjustments to the back: remove the blood group section, and make the back the same size as the front.</w:t>
      </w:r>
    </w:p>
    <w:p>
      <w:pPr>
        <w:pStyle w:val="BodyText"/>
      </w:pPr>
      <w:r>
        <w:t>The card back no longer shows a blood group. The card-held blood_group column is dropped (migration 20260903160000_staff_id_card_drop_blood_group); the free-text back_notes field is kept. The back object returned by GET /api/v1/staff-id-cards* and GET /api/v1/my-hr/id-card no longer carries bloodGroup, and POST / PATCH /api/v1/staff-id-cards/:id no longer accept it. The back still shows the holder's national ID and emergency contact (from the Employee), the conditions of use, the 'if found, return to' block from the issuing company's address, an optional note and the barcode.</w:t>
      </w:r>
    </w:p>
    <w:p>
      <w:pPr>
        <w:pStyle w:val="BodyText"/>
      </w:pPr>
      <w:r>
        <w:t>Both faces are now a single fixed rectangle - the shared IdCard.jsx component renders the front and the back at the same width and height (a fixed CARD_W x CARD_H box, overflow clipped), with the back's barcode and signature lines anchored to the bottom edge. The admin Edit dialog drops the Blood group field (Photo, Expiry and Back note remain).</w:t>
      </w:r>
    </w:p>
    <w:p>
      <w:pPr>
        <w:pStyle w:val="BodyText"/>
      </w:pPr>
      <w:r>
        <w:t>No new endpoint or permission; openapi.json path / operation counts unchanged (367 / 467). Verified end to end against the running system: the migration drops the column, the card and back payloads no longer include bloodGroup, backNotes still round-trips, and both card faces render at the same size. nest build, admin vite build and prisma migrate deploy all clean.</w:t>
      </w:r>
    </w:p>
    <w:p>
      <w:pPr>
        <w:pStyle w:val="Heading2"/>
      </w:pPr>
      <w:r>
        <w:t>Impact on this document</w:t>
      </w:r>
    </w:p>
    <w:p>
      <w:pPr>
        <w:pStyle w:val="BodyText"/>
      </w:pPr>
      <w:r>
        <w:t>Process - 'issue / maintain a staff ID card' no longer captures a blood group; nothing else in the process changes.</w:t>
      </w:r>
    </w:p>
    <w:p>
      <w:pPr>
        <w:pStyle w:val="Heading1"/>
      </w:pPr>
      <w:r>
        <w:t>Implementation Status Update 93 (3 September 2026) — Morise Milling Ltd Subsidiary + Milling ERP Specification (New Doc 23)</w:t>
      </w:r>
    </w:p>
    <w:p>
      <w:pPr>
        <w:pStyle w:val="BodyText"/>
      </w:pPr>
      <w:r>
        <w:t>An administrator asked to add a new subsidiary under Morise Holdings Limited with a grain-milling concept, based on the client attachment 'Software Development Features for a Milling Company'.</w:t>
      </w:r>
    </w:p>
    <w:p>
      <w:pPr>
        <w:pStyle w:val="BodyText"/>
      </w:pPr>
      <w:r>
        <w:t>Morise Milling Ltd is seeded as a wholly-owned (100%) subsidiary (company id a1000000-0000-4000-8000-000000000007): six mill sites / branches (Kampala Head Office &amp; Central Mill, Jinja Wheat &amp; Maize Mill, Masindi Maize Mill, Mbale Millet &amp; Sorghum Mill, Lira Grain Mill &amp; Silos, Kampala Distribution Depot); twelve departments, one per architecture module (Grain Procurement &amp; Weighbridge; Warehouse &amp; Inventory; Production &amp; Milling Lines; Machine &amp; Maintenance; Quality Assurance &amp; Control; Packaging; Sales &amp; Customer Management; Distribution &amp; Delivery; Finance &amp; Accounting; Human Resources &amp; Workforce; Procurement &amp; Supplier Management; IT, IoT &amp; Integrations); and six starter policies (Weighbridge Ticket Integrity, Grain Acceptance &amp; Moisture Limits, Milling Yield &amp; Loss Tolerance, Batch Traceability End to End, Preventive Maintenance Compliance, Food Safety &amp; Product Release). Only prisma/seed.ts changes - no code, schema or permission change; the Managing Director's create / update / delete / activate authority over subsidiaries was delivered earlier.</w:t>
      </w:r>
    </w:p>
    <w:p>
      <w:pPr>
        <w:pStyle w:val="BodyText"/>
      </w:pPr>
      <w:r>
        <w:t>The milling-specific system is a specification, not built. New doc 23 - Milling ERP &amp; Integrated Business Management System - Feature Specification - restates the attachment in the house format: twelve feature modules from grain procurement over a weighbridge through production and milling lines, machine maintenance, QA/QC, packaging, sales, distribution, finance and workforce to a management dashboard with IoT / PLC integration and end-to-end supplier-to-customer batch traceability; plus non-functional requirements, an architecture overview, an integration table, the fifteen recommended roles, a technology-stack table, the organisation as seeded, a five-phase delivery roadmap and a section on reuse of the existing MBMS modules (Suppliers, Inventory / Warehouse, Fleet, Delivery, Accounting, HR / Payroll, Alerts, Audit).</w:t>
      </w:r>
    </w:p>
    <w:p>
      <w:pPr>
        <w:pStyle w:val="BodyText"/>
      </w:pPr>
      <w:r>
        <w:t>The storefront's public site lists Morise Milling Ltd in the Companies directory (SUBSIDIARY_META entry, a new subsidiary-milling.svg banner added to the brand family and mirrored into both apps, and a News item). Group figures become six subsidiaries and twenty-six sites / branches. Verified against the running system: the company, its 6 branches, 12 departments and 6 policies are returned by the /organization API and are manageable by the Managing Director; admin and storefront builds are clean.</w:t>
      </w:r>
    </w:p>
    <w:p>
      <w:pPr>
        <w:pStyle w:val="Heading2"/>
      </w:pPr>
      <w:r>
        <w:t>Impact on this document</w:t>
      </w:r>
    </w:p>
    <w:p>
      <w:pPr>
        <w:pStyle w:val="BodyText"/>
      </w:pPr>
      <w:r>
        <w:t>Process - the group gains a milling operating company; its end-to-end process (Supplier -&gt; Grain Lot -&gt; Receiving -&gt; Warehouse / Silo -&gt; Milling Batch -&gt; Production Line -&gt; QC -&gt; Packaging Batch -&gt; Finished Goods -&gt; Customer -&gt; Delivery) is documented in doc 23 as the target; nothing in the running system changes.</w:t>
      </w:r>
    </w:p>
    <w:p>
      <w:pPr>
        <w:pStyle w:val="Heading1"/>
      </w:pPr>
      <w:r>
        <w:t>Implementation Status Update 94 (3 September 2026) — Automatic Morise e-Stamp on a Customer-Acknowledged Delivery</w:t>
      </w:r>
    </w:p>
    <w:p>
      <w:pPr>
        <w:pStyle w:val="BodyText"/>
      </w:pPr>
      <w:r>
        <w:t>Update 66 (recorded as a specification only) is now built: after a Morise delivery is completed, the customer confirms - through the customer portal - that they received the order's goods / services in good condition, and MBMS automatically places a Morise e-Stamp on the order's invoice.</w:t>
      </w:r>
    </w:p>
    <w:p>
      <w:pPr>
        <w:pStyle w:val="BodyText"/>
      </w:pPr>
      <w:r>
        <w:t>New endpoint POST /api/v1/customer-portal/orders/:id/delivery/acknowledge (customer JWT) with condition = good | damaged | incomplete | not_received and an optional note. It is allowed only once the order's delivery is `delivered`, and only once. A `good` acknowledgement, in one transaction, stamps the order's invoice - invoices.stamped_at, a unique invoices.stamp_number = MOR-ESTAMP-YYYY-NNNNNN, invoices.stamp_condition = 'good' (new nullable columns, migration 20260903180000_invoice_estamp_delivery_ack) - and logs a delivery event, an invoice.estamp.issued audit entry and a best-effort notification to the selling subsidiary's order team. A damaged / incomplete / not-received acknowledgement issues no stamp: it sets deliveries.exception_opened_at, logs the customer's report as a delivery event and raises a delivery.exception_opened audit entry and a staff notification. The delivery also records customer_ack_condition / customer_ack_at / customer_ack_note / customer_ack_by.</w:t>
      </w:r>
    </w:p>
    <w:p>
      <w:pPr>
        <w:pStyle w:val="BodyText"/>
      </w:pPr>
      <w:r>
        <w:t>The e-Stamp is shown on: the customer's delivery-tracking view (GET /customer-portal/orders/:id/delivery now returns canAcknowledge, the acknowledgement fields and, once stamped, the eStamp), the invoice list and detail (eStamped, stampNumber), and the downloaded invoice PDF - which now draws a navy / amber Morise seal (the Morise 'M' mark, 'MORISE e-STAMP', the stamp number and the confirmation wording) top-right. The staff DeliveryService.get also returns the stamp and acknowledgement fields.</w:t>
      </w:r>
    </w:p>
    <w:p>
      <w:pPr>
        <w:pStyle w:val="BodyText"/>
      </w:pPr>
      <w:r>
        <w:t>Storefront: the My Orders detail shows, for a completed delivery, a 'Did everything arrive in good condition?' panel - 'Yes, confirm receipt' (issues the e-Stamp) or 'Report a problem' (damaged / incomplete / not received + a note, opens a delivery exception); afterwards it shows the confirmation and the e-Stamp number, or the exception notice. The Invoices list shows a 'Morise e-Stamp' badge. Seed adds one completed delivery for a Highland Traders order awaiting confirmation, so the flow is demoable. Verified end to end against the running system: a `good` acknowledgement issued MOR-ESTAMP-2026-000001 on the invoice and rendered the seal on the PDF; the guards (not delivered -&gt; 409, already acknowledged -&gt; 409, no delivery -&gt; 404) and the damaged path (no stamp, exception opened) all behaved. nest build, storefront vite build and prisma migrate deploy all clean; openapi.json regenerated (368 paths / 468 operations). Supersedes the 'spec only - nothing built' status of Update 66.</w:t>
      </w:r>
    </w:p>
    <w:p>
      <w:pPr>
        <w:pStyle w:val="Heading2"/>
      </w:pPr>
      <w:r>
        <w:t>Impact on this document</w:t>
      </w:r>
    </w:p>
    <w:p>
      <w:pPr>
        <w:pStyle w:val="BodyText"/>
      </w:pPr>
      <w:r>
        <w:t>Process - the order-to-cash / delivery process gains a customer step: confirm receipt -&gt; automatic e-Stamp, or report a problem -&gt; delivery exception (no stamp). Nothing upstream changes.</w:t>
      </w:r>
    </w:p>
    <w:p>
      <w:pPr>
        <w:pStyle w:val="Heading1"/>
      </w:pPr>
      <w:r>
        <w:t>Implementation Status Update 95 (3 September 2026) — A Clear "Confirm Receipt" Button / Link for the Customer e-Stamp Confirmation</w:t>
      </w:r>
    </w:p>
    <w:p>
      <w:pPr>
        <w:pStyle w:val="BodyText"/>
      </w:pPr>
      <w:r>
        <w:t>Following Update 94 (the automatic Morise e-Stamp on a customer-acknowledged delivery), an administrator asked that the customer have a clear confirmation button / link - not just a panel buried in an order's detail.</w:t>
      </w:r>
    </w:p>
    <w:p>
      <w:pPr>
        <w:pStyle w:val="BodyText"/>
      </w:pPr>
      <w:r>
        <w:t>New read GET /api/v1/customer-portal/orders/awaiting-confirmation (customer JWT) returns the customer's own orders with a completed delivery they have not yet confirmed (orderId, orderNumber, deliveryNumber, deliveredAt, companyName). The dashboard summary (GET /customer-portal/dashboard-summary) gains deliveriesToConfirm and firstDeliveryToConfirmOrderId. No schema change, no new permission.</w:t>
      </w:r>
    </w:p>
    <w:p>
      <w:pPr>
        <w:pStyle w:val="BodyText"/>
      </w:pPr>
      <w:r>
        <w:t>Storefront: a dedicated confirmation page at /orders/:id/confirm - a shareable URL that shows the order and delivery summary and a prominent 'Confirm - received in good condition' button plus a 'Report a problem' form (damaged / incomplete / not received + note); on a good confirmation it shows the Morise e-Stamp number and a 'Download stamped invoice' link, on a problem the exception notice. The My Orders list marks each order awaiting confirmation with a 'Confirm receipt -&gt;' link to that page, and the Home dashboard shows a prompt card ('You have N deliveries awaiting your confirmation' + 'Confirm now').</w:t>
      </w:r>
    </w:p>
    <w:p>
      <w:pPr>
        <w:pStyle w:val="BodyText"/>
      </w:pPr>
      <w:r>
        <w:t>The Update 94 acknowledge endpoint, the automatic e-Stamp and the in-detail panel are unchanged. Verified end to end against the running system: awaiting-confirmation and the dashboard count move 1 -&gt; 2 -&gt; 1 as a delivery is completed and then confirmed; the confirmation page issues the e-Stamp. nest build and storefront vite build clean; openapi.json regenerated (369 paths / 469 operations).</w:t>
      </w:r>
    </w:p>
    <w:p>
      <w:pPr>
        <w:pStyle w:val="Heading2"/>
      </w:pPr>
      <w:r>
        <w:t>Impact on this document</w:t>
      </w:r>
    </w:p>
    <w:p>
      <w:pPr>
        <w:pStyle w:val="BodyText"/>
      </w:pPr>
      <w:r>
        <w:t>Process - the 'confirm receipt' step is now prompted: the customer is shown outstanding confirmations on the Home dashboard and on each order row, and confirms from a focused page.</w:t>
      </w:r>
    </w:p>
    <w:p>
      <w:pPr>
        <w:pStyle w:val="Heading1"/>
      </w:pPr>
      <w:r>
        <w:t>Implementation Status Update 96 (3 September 2026) — Confirm-Receipt Button Driven by the Order's Delivered Status</w:t>
      </w:r>
    </w:p>
    <w:p>
      <w:pPr>
        <w:pStyle w:val="BodyText"/>
      </w:pPr>
      <w:r>
        <w:t>An administrator asked that the customer's 'Confirm receipt' button be driven by the order's status: once admin staff mark the order delivered, the button appears in My Orders, and the customer clicks it to attest the goods / services arrived in good condition - which is what generates the automatic Morise e-Stamp. A Morise Logistics delivery record is no longer required.</w:t>
      </w:r>
    </w:p>
    <w:p>
      <w:pPr>
        <w:pStyle w:val="BodyText"/>
      </w:pPr>
      <w:r>
        <w:t>The Order gains delivered_at (stamped when an administrator advances the order to `delivered`, or a Morise Logistics delivery completes) and customer_receipt_confirmed_at / customer_receipt_condition / customer_receipt_note (migration 20260903200000_order_customer_receipt, which back-fills delivered_at for orders already delivered). GET /api/v1/customer-portal/orders and .../:id now return deliveredAt, the receipt fields and canConfirmReceipt (order.status === 'delivered' AND not yet confirmed), plus eStamped / stampNumber on the invoice sub-object.</w:t>
      </w:r>
    </w:p>
    <w:p>
      <w:pPr>
        <w:pStyle w:val="BodyText"/>
      </w:pPr>
      <w:r>
        <w:t>POST /api/v1/customer-portal/orders/:id/delivery/acknowledge is now order-driven: it is allowed once the order is `delivered` and only once, regardless of whether a delivery record exists. A `good` confirmation records the receipt on the order and auto-stamps the order's invoice (MOR-ESTAMP-YYYY-NNNNNN); any other condition records a dispute (no stamp). When a Morise Logistics delivery record exists, the confirmation is mirrored onto it (its customer_ack_* fields + a delivery event). Audited as invoice.estamp.issued (good) or order.receipt.disputed (else) with a best-effort notification to the selling subsidiary's order team. GET /customer-portal/orders/awaiting-confirmation and the dashboard summary's deliveriesToConfirm now count delivered, unconfirmed orders.</w:t>
      </w:r>
    </w:p>
    <w:p>
      <w:pPr>
        <w:pStyle w:val="BodyText"/>
      </w:pPr>
      <w:r>
        <w:t>Storefront: the My Orders detail's 'Did everything arrive in good condition?' panel, the /orders/:id/confirm page and the 'Confirm receipt -&gt;' row link are all driven by the order's delivered status and no longer need a delivery record. Seed marks delivered_at on every delivered order and pre-confirms + e-stamps the settled ones, leaving one order (ORD-2026-0001) still awaiting the customer's confirmation. Verified end to end against the running system: staff advanced an order to delivered, the customer confirmed 'damaged' (dispute, no stamp) and 'good' (e-Stamp issued, mirrored onto the delivery record where present); the guards (not delivered -&gt; 409, already confirmed -&gt; 409) behaved. nest build, storefront vite build and prisma migrate deploy all clean; openapi.json unchanged at 369 paths / 469 operations.</w:t>
      </w:r>
    </w:p>
    <w:p>
      <w:pPr>
        <w:pStyle w:val="Heading2"/>
      </w:pPr>
      <w:r>
        <w:t>Impact on this document</w:t>
      </w:r>
    </w:p>
    <w:p>
      <w:pPr>
        <w:pStyle w:val="BodyText"/>
      </w:pPr>
      <w:r>
        <w:t>Process - the order-fulfilment process ends: admin marks delivered -&gt; the customer is prompted to confirm receipt -&gt; a good confirmation auto-issues the Morise e-Stamp, a problem opens a dispute.</w:t>
      </w:r>
    </w:p>
    <w:p>
      <w:pPr>
        <w:pStyle w:val="Heading1"/>
      </w:pPr>
      <w:r>
        <w:t>Implementation Status Update 97 (3 September 2026) — Social Media Publishing — Composer, Publishing Engine &amp; Status Dashboard (New Doc 24)</w:t>
      </w:r>
    </w:p>
    <w:p>
      <w:pPr>
        <w:pStyle w:val="BodyText"/>
      </w:pPr>
      <w:r>
        <w:t>An administrator asked for a mini Buffer / Hootsuite inside MBMS: write one master post, fan it out to many social media channels in one click with per-platform caption overrides, publish now or schedule, and see per-platform success / failure. The architecture plan the administrator supplied - the three layers, the seven feature areas, and the 2026 cost / access reality for X, Meta, LinkedIn and TikTok - is restated in the house format in the new doc 24.</w:t>
      </w:r>
    </w:p>
    <w:p>
      <w:pPr>
        <w:pStyle w:val="BodyText"/>
      </w:pPr>
      <w:r>
        <w:t>A new module (src/social-publishing) exposes /api/v1/social. Schema (migration 20260903220000_social_publishing): social_connections (a simulated OAuth connection per platform - status, account label, a ~60-day token expiry, a placeholder token reference; no real handshake), social_posts (master body, media type + text-reference url, link, status draft / scheduled / publishing / published / partially_failed / failed, scheduledFor) and social_post_targets (one row per platform per post - caption override, status pending / publishing / success / failed / skipped, external id + permalink, error, attempts). Three new governance-domain permissions: social.post.manage (draft / edit / delete, connect / disconnect channels), social.post.publish (fan-out, retry, run the schedule) and social.post.viewAll (composer + posts + dashboard) - the 'can create drafts vs can publish' split.</w:t>
      </w:r>
    </w:p>
    <w:p>
      <w:pPr>
        <w:pStyle w:val="BodyText"/>
      </w:pPr>
      <w:r>
        <w:t>Endpoints: GET /social/platforms (the nine channels with connection state + character limits + media rules), POST /social/platforms/:platform/{connect,disconnect}; GET / POST /social/posts, GET / PATCH / DELETE /social/posts/:id (get returns a per-platform preview - effective caption, character count vs limit, truncation / media / not-connected warnings); POST /social/posts/:id/publish (the single button - fans the post out to every target and computes per-platform success or failure), POST /social/posts/:id/retry (failed targets only), POST /social/run-scheduled (fire due scheduled posts - a stand-in for the cron worker); GET /social/dashboard. Every mutation is audited (social.post.* / social.connection.*).</w:t>
      </w:r>
    </w:p>
    <w:p>
      <w:pPr>
        <w:pStyle w:val="BodyText"/>
      </w:pPr>
      <w:r>
        <w:t>The publish itself is SIMULATED - dispatchOne() enforces the platform's own rules (character limit, media requirement, connection state) and mints a fake permalink on success, rather than calling a real platform API; there is no OAuth handshake or job queue in this build (the same deferred external integration already recorded for Kafka, object storage and email / SMS). The shape a genuine integration slots into is real: a connection per platform, one target row per platform with its own status / external id / error, a fan-out step with partial failure and retry, and a status dashboard. Admin gains a Social Publishing screen under ADMIN / BACKEND (four tabs: Compose with live per-channel preview and caption overrides, Posts with per-platform outcome + retry, Channels connect / disconnect, Dashboard). Seed connects four channels and adds a published post, a draft and a scheduled post. Verified end to end against the running system: a post fanned out with a partial failure (Instagram rejected - no media), a retry after adding media published it, disconnecting a channel failed its target, run-scheduled fired a due post, and the drafts-vs-publish permission split held (Sales Manager 403 on publish). nest build, admin vite build and prisma migrate deploy all clean; openapi.json regenerated (378 paths / 481 operations).</w:t>
      </w:r>
    </w:p>
    <w:p>
      <w:pPr>
        <w:pStyle w:val="Heading2"/>
      </w:pPr>
      <w:r>
        <w:t>Impact on this document</w:t>
      </w:r>
    </w:p>
    <w:p>
      <w:pPr>
        <w:pStyle w:val="BodyText"/>
      </w:pPr>
      <w:r>
        <w:t>Process - a new 'publish to social' process: compose one master post -&gt; select channels + optional per-channel caption -&gt; publish now or schedule -&gt; the engine fans out and records per-channel success / failure -&gt; retry the failed channels.</w:t>
      </w:r>
    </w:p>
    <w:p>
      <w:pPr>
        <w:pStyle w:val="Heading1"/>
      </w:pPr>
      <w:r>
        <w:t>Implementation Status Update 98 (8 September 2026) — Product Catalogue for Morise Milling Ltd + Branch-Tagged Product Registration (Doc 23)</w:t>
      </w:r>
    </w:p>
    <w:p>
      <w:pPr>
        <w:pStyle w:val="BodyText"/>
      </w:pPr>
      <w:r>
        <w:t>An administrator asked to add products to Morise Milling Ltd. Morise Milling Ltd was seeded as the group's sixth wholly-owned subsidiary in Update 93 (3 September 2026) with six mill sites and twelve departments but zero products — it was spec-stage only. This update gives it its first product catalogue and, at the same time, generalises product registration in the Admin app so any multi-site subsidiary's products can be tagged to the branch/site that produces them, not just company-wide.</w:t>
      </w:r>
    </w:p>
    <w:p>
      <w:pPr>
        <w:pStyle w:val="BodyText"/>
      </w:pPr>
      <w:r>
        <w:t>prisma/seed.ts gains a Morise Milling Ltd product-catalogue block (ensureMillProduct helper, 7 new categories): 24 SKUs — 15 priced finished goods and services (maize, wheat, and millet/sorghum flour lines across 4 pack sizes; maize bran, wheat bran/pollard, maize germ and a compounded dairy meal as by-products; toll milling, grain cleaning/drying, silo storage and grain grading/moisture testing as services) plus 5 finished-goods lines and 4 internal-only items (raw maize/wheat/millet grain intake, printed bag and retail-pack packaging) that are seeded with no unitPrice on purpose — CustomerCatalogService only lists priced products, so raw materials and packaging stay off the customer storefront while Admin Inventory still tracks them. Batch tracking (trackBatches) and min/max stock levels are set per docx/23 section 2.2 (raw-material / finished-goods / packaging warehouses, FIFO-FEFO, min-max levels) and sections 2.5-2.6 (batch numbers, expiry / best-before, end-to-end batch traceability). Each item is attributed to the mill or depot that produces or holds it (Masindi for maize, Jinja for wheat, Mbale for millet/sorghum, Lira for grain intake and toll-milling services, the Kampala depot for retail packs and packaging).</w:t>
      </w:r>
    </w:p>
    <w:p>
      <w:pPr>
        <w:pStyle w:val="BodyText"/>
      </w:pPr>
      <w:r>
        <w:t>Product.branchId already existed on the schema (29 August 2026, storefront group catalogue), but only the seed could set it — a product registered through the Admin screen was always company-wide. CreateProductDto and UpdateProductDto (mbms/backend/src/products/dto/product.dto.ts) both gain an optional branchId; ProductsService.assertReferencesBelongTo validates on create and update that both the category and the branch belong to the product's own companyId, and every product read (list, get, create, update) now includes and returns companyName and branchName so an Admin list spanning several subsidiaries reads clearly.</w:t>
      </w:r>
    </w:p>
    <w:p>
      <w:pPr>
        <w:pStyle w:val="BodyText"/>
      </w:pPr>
      <w:r>
        <w:t>The Admin Products screen (mbms/frontend/src/pages/Products.jsx) is rebuilt on top of this: a subsidiary filter above the list, Company / Branch / Category / Stock / a per-row Edit action added to the table, and the New Product form replaced with Company and Branch dropdowns (previously a bare company-UUID text field and a "Load Categories" button) that only offer that company's own categories and branches. A new Edit Product modal exposes the PATCH /products/:id endpoint (it has existed since Sprint 4 with no screen) so an administrator can correct a product's price, re-point it at another branch, or retire it without leaving the page. Verified end to end: reseeded and confirmed all 24 Morise Milling Ltd rows in Postgres with the correct branch attribution; nest build clean; openapi.json regenerated (378 paths / 481 operations / 188 schemas — unchanged, this update adds fields to an existing schema, no new path). The group catalogue is now 58 products across 25 categories (53 storefront-priced, 5 internal-only), and all six operating subsidiaries sell at least one product or service — Morise Milling Ltd was the last one still at zero.</w:t>
      </w:r>
    </w:p>
    <w:p>
      <w:pPr>
        <w:pStyle w:val="Heading2"/>
      </w:pPr>
      <w:r>
        <w:t>Impact on this document</w:t>
      </w:r>
    </w:p>
    <w:p>
      <w:pPr>
        <w:pStyle w:val="BodyText"/>
      </w:pPr>
      <w:r>
        <w:t>Process - the product-registration process now includes choosing the producing branch/site as a normal step in the New Product form, and gains a first-class edit step, instead of branch attribution being a seed-only, follow-up step.</w:t>
      </w:r>
    </w:p>
    <w:p>
      <w:pPr>
        <w:pStyle w:val="Heading1"/>
      </w:pPr>
      <w:r>
        <w:t>Implementation Status Update 99 (9 September 2026) — Morise Research &amp; Consultancy Ltd — Seventh Subsidiary + RC-MIS Specification (New Doc 25)</w:t>
      </w:r>
    </w:p>
    <w:p>
      <w:pPr>
        <w:pStyle w:val="BodyText"/>
      </w:pPr>
      <w:r>
        <w:t>An administrator asked to add a subsidiary for research and other types of consultancy, based on the client attachment docx/Research_and_Consultancy_Software_Development_Features.docx. Morise Research &amp; Consultancy Ltd is seeded as the group's seventh wholly-owned (100%) subsidiary (company id a1000000-0000-4000-8000-000000000008), registered at Plot 7, Acacia Avenue, Kololo, Kampala, currency UGX, financial year starting 1 January 2026 — created and managed by the Managing Director under the existing subsidiary-lifecycle capability (Update 34), the same way as every prior subsidiary.</w:t>
      </w:r>
    </w:p>
    <w:p>
      <w:pPr>
        <w:pStyle w:val="BodyText"/>
      </w:pPr>
      <w:r>
        <w:t>Five sites/branches (ids b1...0050-0054): Kampala Head Office, and four regional field offices — Gulu (Northern), Mbale (Eastern), Mbarara (Western) and a Karamoja Field Station (Moroto) — reflecting the client attachment's emphasis on geographic coverage and target-population reach for fieldwork. Twelve departments (ids d1...0080-0091) condense the client's fourteen-node RC-MIS architecture into standing organisational units: Client &amp; Business Development; Contracts &amp; Grants Management; Research Design &amp; Methodology; Field Operations &amp; Data Collection; Data Quality &amp; Management; Data Analysis &amp; Qualitative Research; Monitoring &amp; Evaluation; Reports, Deliverables &amp; Knowledge Management; Ethics &amp; Compliance; Finance, Procurement &amp; Subcontracting; Human Resources &amp; Consultant Management; IT, Client Portal &amp; Systems. Six starter policies (ids p1...0050-0055): Research Ethics &amp; Informed Consent, Data Protection &amp; Participant Confidentiality, Fieldwork Safety &amp; Security, Data Quality Assurance, Consultant &amp; Enumerator Conflict of Interest, and Contract, Grant &amp; Proposal Compliance.</w:t>
      </w:r>
    </w:p>
    <w:p>
      <w:pPr>
        <w:pStyle w:val="BodyText"/>
      </w:pPr>
      <w:r>
        <w:t>Like every subsidiary before its first feature build, only the organisation is seeded — seed.ts only, no code, schema or permission change. The subsidiary is not a storefront seller (0 products); a research and consultancy firm is billed on contracts, retainers and timesheets, not a priced catalogue, so it does not get a products pass the way Milling did. The RC-MIS itself (fourteen modules: CRM, Proposals &amp; Tenders, Contracts &amp; Grants, Research Projects, Field Data Collection, Data Quality &amp; Analysis, Monitoring &amp; Evaluation, Reports &amp; Deliverables, Knowledge &amp; Documents, Consultants &amp; HR, Finance &amp; Procurement, Risk &amp; Compliance, Client Portal, Management Analytics) is a specification, not built: new docx/25 restates the client attachment in the house documentation format used for docs 19-24, covering the fourteen modules, non-functional requirements, architecture, key integration points, user roles, suggested technology stack, the organisation as built above, a five-phase delivery roadmap, and how it would relate to and reuse the existing MBMS platform.</w:t>
      </w:r>
    </w:p>
    <w:p>
      <w:pPr>
        <w:pStyle w:val="BodyText"/>
      </w:pPr>
      <w:r>
        <w:t>The storefront's corporate site picks up the new subsidiary automatically from GET /customer-portal/public/overview (group now 7 subsidiaries, 31 sites/branches); mbms/storefront/src/lib/corporate.js gains a SUBSIDIARY_META entry, a SUBSIDIARY_BANNER entry and a News item for it. A new brand/banners/subsidiary-research-consultancy.svg (indigo accent; bar-chart-and-magnifying-glass motif — the group's first new subsidiary accent colour since Milling reused the base amber) is mirrored into both apps' public/brand/banners/ and added to brand/README.md's banner table. Verified end to end against the running system: the new company, its 5 branches, 12 departments and 6 policies confirmed in Postgres and via the authenticated Admin organisation API; the public overview endpoint lists it with its branch count; both banner assets resolve at /brand/banners/subsidiary-research-consultancy.svg on the Admin app and the Customer Storefront. No new endpoint, migration or permission; openapi.json unchanged.</w:t>
      </w:r>
    </w:p>
    <w:p>
      <w:pPr>
        <w:pStyle w:val="Heading2"/>
      </w:pPr>
      <w:r>
        <w:t>Impact on this document</w:t>
      </w:r>
    </w:p>
    <w:p>
      <w:pPr>
        <w:pStyle w:val="BodyText"/>
      </w:pPr>
      <w:r>
        <w:t>Process - a seventh subsidiary now exists for MD-led subsidiary-lifecycle processes (create, update, activate/deactivate, delete) to operate against; the RC-MIS's own research and fieldwork processes are documented in docx/25 but not yet built.</w:t>
      </w:r>
    </w:p>
    <w:p>
      <w:pPr>
        <w:pStyle w:val="Heading1"/>
      </w:pPr>
      <w:r>
        <w:t>Implementation Status Update 100 (9 September 2026) — Services Catalogue for Morise Research &amp; Consultancy Ltd (Doc 25)</w:t>
      </w:r>
    </w:p>
    <w:p>
      <w:pPr>
        <w:pStyle w:val="BodyText"/>
      </w:pPr>
      <w:r>
        <w:t>An administrator asked to add products to Morise Research &amp; Consultancy Ltd. Morise Research &amp; Consultancy Ltd was seeded as the group's seventh subsidiary in Update 99 (9 September 2026) with five field offices and twelve departments but zero products — spec-stage only, on the reasoning that a consultancy is billed on contracts and timesheets. Like Morise Collateral Management Ltd (Update 60), which is also billed on contracts and retainers, the subsidiary can still carry a priced services catalogue representing its standard, quotable engagements; this update seeds that first catalogue.</w:t>
      </w:r>
    </w:p>
    <w:p>
      <w:pPr>
        <w:pStyle w:val="BodyText"/>
      </w:pPr>
      <w:r>
        <w:t>prisma/seed.ts gains a Morise Research &amp; Consultancy Ltd services block (reusing the ensureService() helper already used for the Collateral Management catalogue): 23 services (RC-7001 through RC-7051) across 6 new categories — Research &amp; Evaluation Studies (baseline, midline/endline, impact assessment, feasibility, market research, needs assessment), Field Data Collection (quantitative survey enumeration, qualitative FGDs/KIIs, mobile/offline data-collection setup, enumerator recruitment &amp; training), Data Management &amp; Analysis (data cleaning, statistical analysis, qualitative coding, dashboard setup), Monitoring &amp; Evaluation Services (M&amp;E framework design, indicator-tracking-system setup, ongoing M&amp;E support), Technical &amp; Policy Consultancy (policy advisory, institutional capacity assessment, strategic planning facilitation, a senior-researcher day rate) and Training &amp; Capacity Building (research-methods and M&amp;E workshops). Every line is productType 'service', priced in UGX per the standard unit a client's statement of work would quote against (per study, per session, per dataset, per day), and every line carries a unitPrice, so — unlike Morise Milling Ltd's internal raw-material items — the whole catalogue is storefront-visible.</w:t>
      </w:r>
    </w:p>
    <w:p>
      <w:pPr>
        <w:pStyle w:val="BodyText"/>
      </w:pPr>
      <w:r>
        <w:t>Each service is attributed to the office best placed to deliver it: study design, analysis, policy advisory and the day-rate line sit at the Kampala Head Office; fieldwork-heavy lines (household-survey enumeration, focus groups, enumerator training, a needs assessment, ongoing M&amp;E support, the two training workshops) are spread across the Gulu, Mbale, Mbarara and Karamoja field offices to reflect where that work actually happens. No schema, code or permission change — seed.ts only, reusing the existing ensureService()/ensureCategory() helpers and Product model exactly as every prior services catalogue (Logistics, Clearing &amp; Forwarding, Warehouse Management, Collateral Management) did.</w:t>
      </w:r>
    </w:p>
    <w:p>
      <w:pPr>
        <w:pStyle w:val="BodyText"/>
      </w:pPr>
      <w:r>
        <w:t>Verified end to end against the running system: reseeded, all 23 rows confirmed in Postgres with correct branch and category attribution; the Admin Products screen, filtered to Morise Research &amp; Consultancy Ltd, lists all 23 services with correct company/branch/category/price/stock columns (screenshot-verified, no console errors); nest build clean; openapi.json regenerated byte-identical (378 paths / 481 operations / 188 schemas — no new endpoint or field). Group catalogue now 81 products across 31 categories (76 storefront-priced, 5 internal-only); all seven operating subsidiaries now sell at least one product or service.</w:t>
      </w:r>
    </w:p>
    <w:p>
      <w:pPr>
        <w:pStyle w:val="Heading2"/>
      </w:pPr>
      <w:r>
        <w:t>Impact on this document</w:t>
      </w:r>
    </w:p>
    <w:p>
      <w:pPr>
        <w:pStyle w:val="BodyText"/>
      </w:pPr>
      <w:r>
        <w:t>Process - the standard services-catalogue seeding process (categories, then priced service lines, then branch attribution) is applied to a seventh subsidiary.</w:t>
      </w:r>
    </w:p>
    <w:p>
      <w:pPr>
        <w:pStyle w:val="Heading1"/>
      </w:pPr>
      <w:r>
        <w:t>Implementation Status Update 101 (9 September 2026) — Dockerized Backend, Admin App and Customer Storefront</w:t>
      </w:r>
    </w:p>
    <w:p>
      <w:pPr>
        <w:pStyle w:val="BodyText"/>
      </w:pPr>
      <w:r>
        <w:t>An administrator asked to dockerize the backend, the Admin app and the Customer Storefront. Until now only Postgres and Redis ran as containers (mbms/docker-compose.yml); the three application services ran natively (nest build + node dist/main.js for the backend, npm run dev / Vite for each frontend). This update adds a Dockerfile for each of the three, wires them into docker-compose.yml alongside Postgres and Redis, and verifies the whole stack end to end.</w:t>
      </w:r>
    </w:p>
    <w:p>
      <w:pPr>
        <w:pStyle w:val="BodyText"/>
      </w:pPr>
      <w:r>
        <w:t>backend/Dockerfile is a two-stage build on node:20-bookworm-slim (deliberately not Alpine) for both stages: npm ci, prisma generate, then npm run build — which runs nest build, not a bare tsc, so the @nestjs/swagger CLI plugin still populates the OpenAPI document's request/response schemas exactly as it does outside Docker. The runtime stage copies over only the compiled dist/, the already-generated Prisma Client, and production node_modules (npm ci --omit=dev), then runs node dist/main.js. Both stages install openssl and ca-certificates explicitly — Prisma's own documented fix for a libssl-detection warning on the bare -slim image. Using the same glibc-based Debian image for both the build and runtime stages avoids the well-known 'Query Engine could not be found' failure that mixing an Alpine (musl-libc) build with a glibc runtime, or vice versa, can cause.</w:t>
      </w:r>
    </w:p>
    <w:p>
      <w:pPr>
        <w:pStyle w:val="BodyText"/>
      </w:pPr>
      <w:r>
        <w:t>frontend/Dockerfile and storefront/Dockerfile follow a matching two-stage pattern on node:20-alpine (build) and nginx:1.27-alpine (runtime): npm run build produces a static Vite bundle, and a bundled nginx.conf reverse-proxies /api/* to the backend container by its Compose service name — the same relationship vite.config.js's dev-server proxy gives each app locally, so the existing fetch('/api/v1/...') calls need no code change and no CORS configuration either way. A try_files fallback to index.html handles client-side routing so a deep link or a page reload on a route like /companies still resolves.</w:t>
      </w:r>
    </w:p>
    <w:p>
      <w:pPr>
        <w:pStyle w:val="BodyText"/>
      </w:pPr>
      <w:r>
        <w:t>docker-compose.yml gains backend, frontend and storefront services: backend waits on a new Postgres healthcheck (pg_isready) before starting and gets its DATABASE_URL/PORT overridden to the in-network Postgres host and internal port (the rest of its configuration still comes from backend/.env via env_file); frontend and storefront are exposed on the same host ports their Vite dev servers already used (5173 / 5174) so the URLs are unchanged whether the stack is run natively or dockerized. Migrations and seeding are deliberately still run from the host (npx prisma migrate deploy &amp;&amp; npx prisma db seed against the same containerized Postgres) rather than inside the container, since the runtime image omits the prisma CLI and ts-node to stay small — this was already the workflow before the backend itself was containerized, and is unchanged now.</w:t>
      </w:r>
    </w:p>
    <w:p>
      <w:pPr>
        <w:pStyle w:val="BodyText"/>
      </w:pPr>
      <w:r>
        <w:t>Verified end to end: all three images build clean; docker compose up -d --build brings up all five containers, backend reporting healthy against Postgres's Compose healthcheck; existing seeded data (8 companies, 81 products) survived a Postgres container recreate because it lives in the mbms_pg_data named volume, not in the container itself; a staff login through the dockerized Admin app and a page load of the dockerized Customer Storefront both succeeded with the request round-tripping through nginx to the backend container and back, with zero browser console errors on either app (screenshot-verified). No schema, endpoint or permission change; openapi.json unchanged.</w:t>
      </w:r>
    </w:p>
    <w:p>
      <w:pPr>
        <w:pStyle w:val="Heading2"/>
      </w:pPr>
      <w:r>
        <w:t>Impact on this document</w:t>
      </w:r>
    </w:p>
    <w:p>
      <w:pPr>
        <w:pStyle w:val="BodyText"/>
      </w:pPr>
      <w:r>
        <w:t>Process - the standing local-development process (Section on Running it) gains a dockerized alternative that starts all five services with one command instead of four separate terminals.</w:t>
      </w:r>
    </w:p>
    <w:p>
      <w:pPr>
        <w:pStyle w:val="Heading1"/>
      </w:pPr>
      <w:r>
        <w:t>Implementation Status Update 102 (9 September 2026) — Storefront Language Set Scoped to 9 Official Languages</w:t>
      </w:r>
    </w:p>
    <w:p>
      <w:pPr>
        <w:pStyle w:val="BodyText"/>
      </w:pPr>
      <w:r>
        <w:t>An administrator asked for the Customer Storefront to be localised and globalised into a specific, named set of languages, grouped exactly as given: Uganda — Official/Global (English), Uganda — Official/Africa (Kiswahili), Uganda — Bantu (Luganda), Africa (Arabic), Europe (German, French, Spanish, Italian), and The Americas (Portuguese).</w:t>
      </w:r>
    </w:p>
    <w:p>
      <w:pPr>
        <w:pStyle w:val="BodyText"/>
      </w:pPr>
      <w:r>
        <w:t>These 9 languages were already shipped fully translated across Updates 29–31 (framework, full key catalogue, database content localisation), inside a much larger 43-language aspirational list added in Update 30 — 34 English-fallback placeholder languages plus two partially-translated regional languages (Runyankole, Acholi). mbms/storefront/src/locales/index.js's LANGUAGE_LIST and LOCALES are now scoped to exactly these 9 official languages, retiring the placeholder and partial entries; every remaining language ships a complete translation, so the picker's “English for now” caveat no longer applies to any option, and TRANSLATED_LANGS now equals FULLY_TRANSLATED_LANGS. The picker's region groups match the administrator's naming exactly.</w:t>
      </w:r>
    </w:p>
    <w:p>
      <w:pPr>
        <w:pStyle w:val="BodyText"/>
      </w:pPr>
      <w:r>
        <w:t>Database content localisation (glossary + TranslationProvider seam, Update 32), currency/figure localisation (lib/format.js's CURRENCY_BY_LANG / LOCALE_TAG, Update 33) and digit transliteration already covered exactly this 9-language set and needed no change. No backend, schema, endpoint or permission change — a front-end scope change to an existing feature. Verified end to end: vite build clean (74 modules); the language picker shows exactly 9 options across the administrator's 6 named region groups, all rendering the full storefront (not an English fallback).</w:t>
      </w:r>
    </w:p>
    <w:p>
      <w:pPr>
        <w:pStyle w:val="Heading2"/>
      </w:pPr>
      <w:r>
        <w:t>Impact on this document</w:t>
      </w:r>
    </w:p>
    <w:p>
      <w:pPr>
        <w:pStyle w:val="BodyText"/>
      </w:pPr>
      <w:r>
        <w:t>Process — no process change: the same client-side language-selection flow, now offering a shorter, fully-translated menu.</w:t>
      </w:r>
    </w:p>
    <w:p>
      <w:pPr>
        <w:pStyle w:val="Heading1"/>
      </w:pPr>
      <w:r>
        <w:t>Implementation Status Update 103 (9 September 2026) — Every Non-English Official Language Reaches 100% Key Parity</w:t>
      </w:r>
    </w:p>
    <w:p>
      <w:pPr>
        <w:pStyle w:val="BodyText"/>
      </w:pPr>
      <w:r>
        <w:t>An administrator clarified Update 102's scope: every word on the Customer Storefront — apart from proper nouns such as “Morise Holdings” and a subsidiary's own name — must change with the chosen language, for all 9 official languages.</w:t>
      </w:r>
    </w:p>
    <w:p>
      <w:pPr>
        <w:pStyle w:val="BodyText"/>
      </w:pPr>
      <w:r>
        <w:t>Auditing mbms/storefront/src/locales/en.js (the 528-key complete catalogue) against each translated table found the same 66 keys missing from every one of the 8 non-English languages (fr/es/pt/de/it in eu.js; sw/lg/ar in regional.js) — 462/528 = 87.5% coverage across the board. The gap was entirely features added after the original translation passes and never backfilled: the group-storefront / subsidiary-directory keys (Update 48) and the delivery-confirmation / Morise e-Stamp keys (Updates 94-96) existed only in English.</w:t>
      </w:r>
    </w:p>
    <w:p>
      <w:pPr>
        <w:pStyle w:val="BodyText"/>
      </w:pPr>
      <w:r>
        <w:t>All 66 keys are now translated into all 8 languages (528 new key/value pairs total), reusing the terminology each language already established elsewhere in the catalogue (e.g. French succursale / German Filiale for “branch” vs. French filiale / German Tochtergesellschaft for “subsidiary”, matching the existing corp.whollyOwned wording; Swahili Kampuni / Luganda Kkampuni / Arabic الشركة for “company”, matching account.companyName). “Morise e-Stamp” and company/subsidiary proper nouns are kept untranslated. Every language now carries 528/528 keys — 100% parity with English.</w:t>
      </w:r>
    </w:p>
    <w:p>
      <w:pPr>
        <w:pStyle w:val="BodyText"/>
      </w:pPr>
      <w:r>
        <w:t>A source scan for hard-coded JSX text bypassing the t() catalogue (capitalised text nodes and placeholder/aria-label/title/alt attributes across src/pages and src/components) found nothing outstanding beyond the “MORISE” wordmark in the corporate header logo and one example person-name placeholder — both proper nouns, exempt by the administrator's own instruction. No backend, schema, endpoint or permission change — a locale-data-only change. Verified end to end: vite build clean (74 modules); the dockerized storefront container was rebuilt and redeployed, and the live built bundle was checked directly (curl against the built assets/index-*.js) to confirm the new strings actually ship.</w:t>
      </w:r>
    </w:p>
    <w:p>
      <w:pPr>
        <w:pStyle w:val="Heading2"/>
      </w:pPr>
      <w:r>
        <w:t>Impact on this document</w:t>
      </w:r>
    </w:p>
    <w:p>
      <w:pPr>
        <w:pStyle w:val="BodyText"/>
      </w:pPr>
      <w:r>
        <w:t>Process — no process change: the same t() catalogue lookup, now with no key gaps to fall back to English for any of the 9 official languages.</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Courier New">
    <w:altName w:val="monospace"/>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6"/>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rPr>
      <w:b/>
      <w:bCs/>
      <w:color w:val="1F3864"/>
      <w:sz w:val="40"/>
      <w:szCs w:val="40"/>
    </w:rPr>
  </w:style>
  <w:style w:type="paragraph" w:styleId="Heading2">
    <w:name w:val="heading 2"/>
    <w:basedOn w:val="Heading"/>
    <w:next w:val="BodyText"/>
    <w:qFormat/>
    <w:pPr>
      <w:pBdr>
        <w:bottom w:val="single" w:sz="2" w:space="2" w:color="1F3864"/>
      </w:pBdr>
      <w:spacing w:before="330" w:after="120"/>
      <w:outlineLvl w:val="1"/>
    </w:pPr>
    <w:rPr>
      <w:rFonts w:ascii="Liberation Serif" w:hAnsi="Liberation Serif" w:eastAsia="Noto Serif CJK SC" w:cs="Noto Sans Devanagari"/>
      <w:b/>
      <w:bCs/>
      <w:color w:val="1F3864"/>
      <w:sz w:val="28"/>
      <w:szCs w:val="28"/>
    </w:rPr>
  </w:style>
  <w:style w:type="paragraph" w:styleId="Heading3">
    <w:name w:val="heading 3"/>
    <w:basedOn w:val="Heading"/>
    <w:next w:val="BodyText"/>
    <w:qFormat/>
    <w:pPr>
      <w:spacing w:before="210" w:after="120"/>
      <w:outlineLvl w:val="2"/>
    </w:pPr>
    <w:rPr>
      <w:rFonts w:ascii="Liberation Serif" w:hAnsi="Liberation Serif" w:eastAsia="Noto Serif CJK SC" w:cs="Noto Sans Devanagari"/>
      <w:b/>
      <w:bCs/>
      <w:color w:val="2E5395"/>
      <w:sz w:val="24"/>
      <w:szCs w:val="24"/>
    </w:rPr>
  </w:style>
  <w:style w:type="paragraph" w:styleId="Heading4">
    <w:name w:val="heading 4"/>
    <w:basedOn w:val="Heading"/>
    <w:next w:val="BodyText"/>
    <w:qFormat/>
    <w:pPr>
      <w:spacing w:before="150" w:after="60"/>
      <w:outlineLvl w:val="3"/>
    </w:pPr>
    <w:rPr>
      <w:rFonts w:ascii="Liberation Serif" w:hAnsi="Liberation Serif" w:eastAsia="Noto Serif CJK SC" w:cs="Noto Sans Devanagari"/>
      <w:b/>
      <w:bCs/>
      <w:color w:val="2E5395"/>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z w:val="21"/>
      <w:szCs w:val="21"/>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1F3864" w:val="clear"/>
      <w:jc w:val="left"/>
    </w:pPr>
    <w:rPr>
      <w:b/>
      <w:bCs/>
      <w:color w:val="FFFFFF"/>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Business Process Document</dc:title>
</cp:coreProperties>
</file>

<file path=docProps/custom.xml><?xml version="1.0" encoding="utf-8"?>
<Properties xmlns="http://schemas.openxmlformats.org/officeDocument/2006/custom-properties" xmlns:vt="http://schemas.openxmlformats.org/officeDocument/2006/docPropsVTypes"/>
</file>