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p>
      <w:pPr>
        <w:pStyle w:val="Heading1"/>
      </w:pPr>
      <w:r>
        <w:t>115. Implementation Status Update 100 (9 September 2026) — Services Catalogue for Morise Research &amp; Consultancy Ltd (Doc 25)</w:t>
      </w:r>
    </w:p>
    <w:p>
      <w:pPr>
        <w:pStyle w:val="BodyText"/>
      </w:pPr>
      <w:r>
        <w:t>An administrator asked to add products to Morise Research &amp; Consultancy Ltd. Morise Research &amp; Consultancy Ltd was seeded as the group's seventh subsidiary in Update 99 (9 September 2026) with five field offices and twelve departments but zero products — spec-stage only, on the reasoning that a consultancy is billed on contracts and timesheets. Like Morise Collateral Management Ltd (Update 60), which is also billed on contracts and retainers, the subsidiary can still carry a priced services catalogue representing its standard, quotable engagements; this update seeds that first catalogue.</w:t>
      </w:r>
    </w:p>
    <w:p>
      <w:pPr>
        <w:pStyle w:val="BodyText"/>
      </w:pPr>
      <w:r>
        <w:t>prisma/seed.ts gains a Morise Research &amp; Consultancy Ltd services block (reusing the ensureService() helper already used for the Collateral Management catalogue): 23 services (RC-7001 through RC-7051) across 6 new categories — Research &amp; Evaluation Studies (baseline, midline/endline, impact assessment, feasibility, market research, needs assessment), Field Data Collection (quantitative survey enumeration, qualitative FGDs/KIIs, mobile/offline data-collection setup, enumerator recruitment &amp; training), Data Management &amp; Analysis (data cleaning, statistical analysis, qualitative coding, dashboard setup), Monitoring &amp; Evaluation Services (M&amp;E framework design, indicator-tracking-system setup, ongoing M&amp;E support), Technical &amp; Policy Consultancy (policy advisory, institutional capacity assessment, strategic planning facilitation, a senior-researcher day rate) and Training &amp; Capacity Building (research-methods and M&amp;E workshops). Every line is productType 'service', priced in UGX per the standard unit a client's statement of work would quote against (per study, per session, per dataset, per day), and every line carries a unitPrice, so — unlike Morise Milling Ltd's internal raw-material items — the whole catalogue is storefront-visible.</w:t>
      </w:r>
    </w:p>
    <w:p>
      <w:pPr>
        <w:pStyle w:val="BodyText"/>
      </w:pPr>
      <w:r>
        <w:t>Each service is attributed to the office best placed to deliver it: study design, analysis, policy advisory and the day-rate line sit at the Kampala Head Office; fieldwork-heavy lines (household-survey enumeration, focus groups, enumerator training, a needs assessment, ongoing M&amp;E support, the two training workshops) are spread across the Gulu, Mbale, Mbarara and Karamoja field offices to reflect where that work actually happens. No schema, code or permission change — seed.ts only, reusing the existing ensureService()/ensureCategory() helpers and Product model exactly as every prior services catalogue (Logistics, Clearing &amp; Forwarding, Warehouse Management, Collateral Management) did.</w:t>
      </w:r>
    </w:p>
    <w:p>
      <w:pPr>
        <w:pStyle w:val="BodyText"/>
      </w:pPr>
      <w:r>
        <w:t>Verified end to end against the running system: reseeded, all 23 rows confirmed in Postgres with correct branch and category attribution; the Admin Products screen, filtered to Morise Research &amp; Consultancy Ltd, lists all 23 services with correct company/branch/category/price/stock columns (screenshot-verified, no console errors); nest build clean; openapi.json regenerated byte-identical (378 paths / 481 operations / 188 schemas — no new endpoint or field). Group catalogue now 81 products across 31 categories (76 storefront-priced, 5 internal-only); all seven operating subsidiaries now sell at least one product or service.</w:t>
      </w:r>
    </w:p>
    <w:p>
      <w:pPr>
        <w:pStyle w:val="Heading2"/>
      </w:pPr>
      <w:r>
        <w:t>Impact on this document</w:t>
      </w:r>
    </w:p>
    <w:p>
      <w:pPr>
        <w:pStyle w:val="BodyText"/>
      </w:pPr>
      <w:r>
        <w:t>Design - no design change: the same Admin Products screen and rate-card presentation used for every other services catalogue.</w:t>
      </w:r>
    </w:p>
    <w:p>
      <w:pPr>
        <w:pStyle w:val="Heading1"/>
      </w:pPr>
      <w:r>
        <w:t>116. Implementation Status Update 101 (9 September 2026) — Dockerized Backend, Admin App and Customer Storefront</w:t>
      </w:r>
    </w:p>
    <w:p>
      <w:pPr>
        <w:pStyle w:val="BodyText"/>
      </w:pPr>
      <w:r>
        <w:t>An administrator asked to dockerize the backend, the Admin app and the Customer Storefront. Until now only Postgres and Redis ran as containers (mbms/docker-compose.yml); the three application services ran natively (nest build + node dist/main.js for the backend, npm run dev / Vite for each frontend). This update adds a Dockerfile for each of the three, wires them into docker-compose.yml alongside Postgres and Redis, and verifies the whole stack end to end.</w:t>
      </w:r>
    </w:p>
    <w:p>
      <w:pPr>
        <w:pStyle w:val="BodyText"/>
      </w:pPr>
      <w:r>
        <w:t>backend/Dockerfile is a two-stage build on node:20-bookworm-slim (deliberately not Alpine) for both stages: npm ci, prisma generate, then npm run build — which runs nest build, not a bare tsc, so the @nestjs/swagger CLI plugin still populates the OpenAPI document's request/response schemas exactly as it does outside Docker. The runtime stage copies over only the compiled dist/, the already-generated Prisma Client, and production node_modules (npm ci --omit=dev), then runs node dist/main.js. Both stages install openssl and ca-certificates explicitly — Prisma's own documented fix for a libssl-detection warning on the bare -slim image. Using the same glibc-based Debian image for both the build and runtime stages avoids the well-known 'Query Engine could not be found' failure that mixing an Alpine (musl-libc) build with a glibc runtime, or vice versa, can cause.</w:t>
      </w:r>
    </w:p>
    <w:p>
      <w:pPr>
        <w:pStyle w:val="BodyText"/>
      </w:pPr>
      <w:r>
        <w:t>frontend/Dockerfile and storefront/Dockerfile follow a matching two-stage pattern on node:20-alpine (build) and nginx:1.27-alpine (runtime): npm run build produces a static Vite bundle, and a bundled nginx.conf reverse-proxies /api/* to the backend container by its Compose service name — the same relationship vite.config.js's dev-server proxy gives each app locally, so the existing fetch('/api/v1/...') calls need no code change and no CORS configuration either way. A try_files fallback to index.html handles client-side routing so a deep link or a page reload on a route like /companies still resolves.</w:t>
      </w:r>
    </w:p>
    <w:p>
      <w:pPr>
        <w:pStyle w:val="BodyText"/>
      </w:pPr>
      <w:r>
        <w:t>docker-compose.yml gains backend, frontend and storefront services: backend waits on a new Postgres healthcheck (pg_isready) before starting and gets its DATABASE_URL/PORT overridden to the in-network Postgres host and internal port (the rest of its configuration still comes from backend/.env via env_file); frontend and storefront are exposed on the same host ports their Vite dev servers already used (5173 / 5174) so the URLs are unchanged whether the stack is run natively or dockerized. Migrations and seeding are deliberately still run from the host (npx prisma migrate deploy &amp;&amp; npx prisma db seed against the same containerized Postgres) rather than inside the container, since the runtime image omits the prisma CLI and ts-node to stay small — this was already the workflow before the backend itself was containerized, and is unchanged now.</w:t>
      </w:r>
    </w:p>
    <w:p>
      <w:pPr>
        <w:pStyle w:val="BodyText"/>
      </w:pPr>
      <w:r>
        <w:t>Verified end to end: all three images build clean; docker compose up -d --build brings up all five containers, backend reporting healthy against Postgres's Compose healthcheck; existing seeded data (8 companies, 81 products) survived a Postgres container recreate because it lives in the mbms_pg_data named volume, not in the container itself; a staff login through the dockerized Admin app and a page load of the dockerized Customer Storefront both succeeded with the request round-tripping through nginx to the backend container and back, with zero browser console errors on either app (screenshot-verified). No schema, endpoint or permission change; openapi.json unchanged.</w:t>
      </w:r>
    </w:p>
    <w:p>
      <w:pPr>
        <w:pStyle w:val="Heading2"/>
      </w:pPr>
      <w:r>
        <w:t>Impact on this document</w:t>
      </w:r>
    </w:p>
    <w:p>
      <w:pPr>
        <w:pStyle w:val="BodyText"/>
      </w:pPr>
      <w:r>
        <w:t>Design - no application design change: the same screens, same API contract, delivered through a different runtime packaging.</w:t>
      </w:r>
    </w:p>
    <w:p>
      <w:pPr>
        <w:pStyle w:val="Heading1"/>
      </w:pPr>
      <w:r>
        <w:t>117. Implementation Status Update 102 (9 September 2026) — Storefront Language Set Scoped to 9 Official Languages</w:t>
      </w:r>
    </w:p>
    <w:p>
      <w:pPr>
        <w:pStyle w:val="BodyText"/>
      </w:pPr>
      <w:r>
        <w:t>An administrator asked for the Customer Storefront to be localised and globalised into a specific, named set of languages, grouped exactly as given: Uganda — Official/Global (English), Uganda — Official/Africa (Kiswahili), Uganda — Bantu (Luganda), Africa (Arabic), Europe (German, French, Spanish, Italian), and The Americas (Portuguese).</w:t>
      </w:r>
    </w:p>
    <w:p>
      <w:pPr>
        <w:pStyle w:val="BodyText"/>
      </w:pPr>
      <w:r>
        <w:t>These 9 languages were already shipped fully translated across Updates 29–31 (framework, full key catalogue, database content localisation), inside a much larger 43-language aspirational list added in Update 30 — 34 English-fallback placeholder languages plus two partially-translated regional languages (Runyankole, Acholi). mbms/storefront/src/locales/index.js's LANGUAGE_LIST and LOCALES are now scoped to exactly these 9 official languages, retiring the placeholder and partial entries; every remaining language ships a complete translation, so the picker's “English for now” caveat no longer applies to any option, and TRANSLATED_LANGS now equals FULLY_TRANSLATED_LANGS. The picker's region groups match the administrator's naming exactly.</w:t>
      </w:r>
    </w:p>
    <w:p>
      <w:pPr>
        <w:pStyle w:val="BodyText"/>
      </w:pPr>
      <w:r>
        <w:t>Database content localisation (glossary + TranslationProvider seam, Update 32), currency/figure localisation (lib/format.js's CURRENCY_BY_LANG / LOCALE_TAG, Update 33) and digit transliteration already covered exactly this 9-language set and needed no change. No backend, schema, endpoint or permission change — a front-end scope change to an existing feature. Verified end to end: vite build clean (74 modules); the language picker shows exactly 9 options across the administrator's 6 named region groups, all rendering the full storefront (not an English fallback).</w:t>
      </w:r>
    </w:p>
    <w:p>
      <w:pPr>
        <w:pStyle w:val="Heading2"/>
      </w:pPr>
      <w:r>
        <w:t>Impact on this document</w:t>
      </w:r>
    </w:p>
    <w:p>
      <w:pPr>
        <w:pStyle w:val="BodyText"/>
      </w:pPr>
      <w:r>
        <w:t>Design — no new component or service — a data-only change to LANGUAGE_LIST / LOCALES inside the existing i18n context.</w:t>
      </w:r>
    </w:p>
    <w:p>
      <w:pPr>
        <w:pStyle w:val="Heading1"/>
      </w:pPr>
      <w:r>
        <w:t>118. Implementation Status Update 103 (9 September 2026) — Every Non-English Official Language Reaches 100% Key Parity</w:t>
      </w:r>
    </w:p>
    <w:p>
      <w:pPr>
        <w:pStyle w:val="BodyText"/>
      </w:pPr>
      <w:r>
        <w:t>An administrator clarified Update 102's scope: every word on the Customer Storefront — apart from proper nouns such as “Morise Holdings” and a subsidiary's own name — must change with the chosen language, for all 9 official languages.</w:t>
      </w:r>
    </w:p>
    <w:p>
      <w:pPr>
        <w:pStyle w:val="BodyText"/>
      </w:pPr>
      <w:r>
        <w:t>Auditing mbms/storefront/src/locales/en.js (the 528-key complete catalogue) against each translated table found the same 66 keys missing from every one of the 8 non-English languages (fr/es/pt/de/it in eu.js; sw/lg/ar in regional.js) — 462/528 = 87.5% coverage across the board. The gap was entirely features added after the original translation passes and never backfilled: the group-storefront / subsidiary-directory keys (Update 48) and the delivery-confirmation / Morise e-Stamp keys (Updates 94-96) existed only in English.</w:t>
      </w:r>
    </w:p>
    <w:p>
      <w:pPr>
        <w:pStyle w:val="BodyText"/>
      </w:pPr>
      <w:r>
        <w:t>All 66 keys are now translated into all 8 languages (528 new key/value pairs total), reusing the terminology each language already established elsewhere in the catalogue (e.g. French succursale / German Filiale for “branch” vs. French filiale / German Tochtergesellschaft for “subsidiary”, matching the existing corp.whollyOwned wording; Swahili Kampuni / Luganda Kkampuni / Arabic الشركة for “company”, matching account.companyName). “Morise e-Stamp” and company/subsidiary proper nouns are kept untranslated. Every language now carries 528/528 keys — 100% parity with English.</w:t>
      </w:r>
    </w:p>
    <w:p>
      <w:pPr>
        <w:pStyle w:val="BodyText"/>
      </w:pPr>
      <w:r>
        <w:t>A source scan for hard-coded JSX text bypassing the t() catalogue (capitalised text nodes and placeholder/aria-label/title/alt attributes across src/pages and src/components) found nothing outstanding beyond the “MORISE” wordmark in the corporate header logo and one example person-name placeholder — both proper nouns, exempt by the administrator's own instruction. No backend, schema, endpoint or permission change — a locale-data-only change. Verified end to end: vite build clean (74 modules); the dockerized storefront container was rebuilt and redeployed, and the live built bundle was checked directly (curl against the built assets/index-*.js) to confirm the new strings actually ship.</w:t>
      </w:r>
    </w:p>
    <w:p>
      <w:pPr>
        <w:pStyle w:val="Heading2"/>
      </w:pPr>
      <w:r>
        <w:t>Impact on this document</w:t>
      </w:r>
    </w:p>
    <w:p>
      <w:pPr>
        <w:pStyle w:val="BodyText"/>
      </w:pPr>
      <w:r>
        <w:t>Design — no new component or service — a data-only addition to the eu.js and regional.js locale tables.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