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Schema - no schema change: Product.branchId already existed (29 August 2026). This update only changes which write paths may set it and what the read shape returns (companyName, branchName).</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Schema - no schema change: the new subsidiary uses the existing Company / Branch / Department / CompanyPolicy tables, exactly like the six subsidiaries before it.</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Schema - no schema change: uses the existing Product / ProductCategory tables exactly as every prior subsidiary's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Schema - no schema change.</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Schema — no schema change: the language choice stays client-side (localStorage), as before.</w:t>
      </w:r>
    </w:p>
    <w:p>
      <w:pPr>
        <w:pStyle w:val="Heading1"/>
      </w:pPr>
      <w:r>
        <w:t>118.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Schema — no schema change: the translation catalogue is static front-end data.</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