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p>
      <w:pPr>
        <w:pStyle w:val="Heading1"/>
      </w:pPr>
      <w:r>
        <w:t>25.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User Manual — the “Changing your language” section now lists exactly 9 supported languages, grouped as the administrator named them.</w:t>
      </w:r>
    </w:p>
    <w:p>
      <w:pPr>
        <w:pStyle w:val="Heading1"/>
      </w:pPr>
      <w:r>
        <w:t>26.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User Manual — no new procedure; the existing “Changing your language” section is now accurate for every screen without qualification.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