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p>
      <w:pPr>
        <w:pStyle w:val="Heading1"/>
      </w:pPr>
      <w:r>
        <w:t>112.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Development - three new Dockerfiles, two nginx.conf files, three .dockerignore files, and three new service blocks in docker-compose.yml; no application source code changed.</w:t>
      </w:r>
    </w:p>
    <w:p>
      <w:pPr>
        <w:pStyle w:val="Heading1"/>
      </w:pPr>
      <w:r>
        <w:t>113.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Development — LANGUAGE_LIST and LOCALES in mbms/storefront/src/locales/index.js are the only files with a functional change; regional.js's unused nyn/ach exports and eu.js's other language tables are left in place but no longer imported.</w:t>
      </w:r>
    </w:p>
    <w:p>
      <w:pPr>
        <w:pStyle w:val="Heading1"/>
      </w:pPr>
      <w:r>
        <w:t>114.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Development — only eu.js and regional.js changed (528 new key/value pairs); no other file touched.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