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Morise Holdings Limited</w:t>
      </w:r>
    </w:p>
    <w:p>
      <w:pPr>
        <w:pStyle w:val="Heading1"/>
      </w:pPr>
      <w:r>
        <w:t>Research &amp; Consultancy Management Information System (RC-MIS) — Feature Specification</w:t>
      </w:r>
    </w:p>
    <w:p>
      <w:pPr>
        <w:pStyle w:val="Heading2"/>
      </w:pPr>
      <w:r>
        <w:t>1. Purpose and Context</w:t>
      </w:r>
    </w:p>
    <w:p>
      <w:pPr>
        <w:pStyle w:val="BodyText"/>
      </w:pPr>
      <w:r>
        <w:t>Morise Research &amp; Consultancy Ltd is the group's seventh wholly-owned subsidiary — a research and technical consultancy firm serving government, NGO, private-sector and institutional clients across Uganda and the region. Its work spans the full research lifecycle: winning a tender or proposal, designing the study, assembling and deploying a research team and field enumerators, collecting data (often by mobile phone in remote areas with unreliable connectivity), cleaning and analysing it, producing reports and deliverables, and closing out the contract or grant. This specification restates the client attachment docx/Research_and_Consultancy_Software_Development_Features.docx in the house documentation format used across docs 19-24, describing what a Research &amp; Consultancy Management Information System (RC-MIS) would need to run that whole operation as one integrated platform — from the first client enquiry through fieldwork to the final evidence delivered to the client.</w:t>
      </w:r>
    </w:p>
    <w:p>
      <w:pPr>
        <w:pStyle w:val="Heading2"/>
      </w:pPr>
      <w:r>
        <w:t>2. Feature Modules</w:t>
      </w:r>
    </w:p>
    <w:p>
      <w:pPr>
        <w:pStyle w:val="Heading3"/>
      </w:pPr>
      <w:r>
        <w:t>2.1 Client Relationship Management (CRM)</w:t>
      </w:r>
    </w:p>
    <w:p>
      <w:pPr>
        <w:pStyle w:val="ListBullet"/>
      </w:pPr>
      <w:r>
        <w:t>Client registration and profiles, with government, NGO, private-sector and institutional client categories.</w:t>
      </w:r>
    </w:p>
    <w:p>
      <w:pPr>
        <w:pStyle w:val="ListBullet"/>
      </w:pPr>
      <w:r>
        <w:t>Contact-person and stakeholder management, and a full client communication history.</w:t>
      </w:r>
    </w:p>
    <w:p>
      <w:pPr>
        <w:pStyle w:val="ListBullet"/>
      </w:pPr>
      <w:r>
        <w:t>Client requirements capture; meetings and appointments; client requests, complaints and feedback.</w:t>
      </w:r>
    </w:p>
    <w:p>
      <w:pPr>
        <w:pStyle w:val="ListBullet"/>
      </w:pPr>
      <w:r>
        <w:t>Client satisfaction tracking, and a client portal for self-service access to the relationship (Section 2.13).</w:t>
      </w:r>
    </w:p>
    <w:p>
      <w:pPr>
        <w:pStyle w:val="Heading3"/>
      </w:pPr>
      <w:r>
        <w:t>2.2 Proposals &amp; Tender Management</w:t>
      </w:r>
    </w:p>
    <w:p>
      <w:pPr>
        <w:pStyle w:val="ListBullet"/>
      </w:pPr>
      <w:r>
        <w:t>Tender / RFP registration and RFP document storage.</w:t>
      </w:r>
    </w:p>
    <w:p>
      <w:pPr>
        <w:pStyle w:val="ListBullet"/>
      </w:pPr>
      <w:r>
        <w:t>Technical and financial proposals, concept notes and Expressions of Interest, with proposal costing and consultant allocation.</w:t>
      </w:r>
    </w:p>
    <w:p>
      <w:pPr>
        <w:pStyle w:val="ListBullet"/>
      </w:pPr>
      <w:r>
        <w:t>An approval workflow, submission tracking and deadlines, version control, and win/loss analysis once an outcome is known.</w:t>
      </w:r>
    </w:p>
    <w:p>
      <w:pPr>
        <w:pStyle w:val="Heading3"/>
      </w:pPr>
      <w:r>
        <w:t>2.3 Contracts &amp; Grant Management</w:t>
      </w:r>
    </w:p>
    <w:p>
      <w:pPr>
        <w:pStyle w:val="ListBullet"/>
      </w:pPr>
      <w:r>
        <w:t>Consultancy and research contracts, and grant / subcontract management.</w:t>
      </w:r>
    </w:p>
    <w:p>
      <w:pPr>
        <w:pStyle w:val="ListBullet"/>
      </w:pPr>
      <w:r>
        <w:t>Contract value, funding source and payment schedules; milestones and deliverables tied to each contract.</w:t>
      </w:r>
    </w:p>
    <w:p>
      <w:pPr>
        <w:pStyle w:val="ListBullet"/>
      </w:pPr>
      <w:r>
        <w:t>Contract amendments and variations; renewal and expiry alerts; funder / client compliance tracking.</w:t>
      </w:r>
    </w:p>
    <w:p>
      <w:pPr>
        <w:pStyle w:val="Heading3"/>
      </w:pPr>
      <w:r>
        <w:t>2.4 Research Project Management &amp; Design</w:t>
      </w:r>
    </w:p>
    <w:p>
      <w:pPr>
        <w:pStyle w:val="ListBullet"/>
      </w:pPr>
      <w:r>
        <w:t>Research project registration and reference numbers; objectives, questions, scope and methodology; geographic coverage and target population.</w:t>
      </w:r>
    </w:p>
    <w:p>
      <w:pPr>
        <w:pStyle w:val="ListBullet"/>
      </w:pPr>
      <w:r>
        <w:t>Principal investigator and project-manager assignment; research-team assignment; milestones, tasks and subtasks; deliverables and progress tracking.</w:t>
      </w:r>
    </w:p>
    <w:p>
      <w:pPr>
        <w:pStyle w:val="ListBullet"/>
      </w:pPr>
      <w:r>
        <w:t>Project budgets, risks and issues; change requests and project closure.</w:t>
      </w:r>
    </w:p>
    <w:p>
      <w:pPr>
        <w:pStyle w:val="ListBullet"/>
      </w:pPr>
      <w:r>
        <w:t>Quantitative, qualitative and mixed-method research; baseline, midterm and endline studies; impact assessments; feasibility and market research; socio-economic studies; needs assessments; surveys, case studies, literature reviews and policy research.</w:t>
      </w:r>
    </w:p>
    <w:p>
      <w:pPr>
        <w:pStyle w:val="Heading3"/>
      </w:pPr>
      <w:r>
        <w:t>2.5 Field Data Collection &amp; Sampling</w:t>
      </w:r>
    </w:p>
    <w:p>
      <w:pPr>
        <w:pStyle w:val="ListBullet"/>
      </w:pPr>
      <w:r>
        <w:t>Survey and digital-form creation; mobile and offline data collection; enumerator and respondent management.</w:t>
      </w:r>
    </w:p>
    <w:p>
      <w:pPr>
        <w:pStyle w:val="ListBullet"/>
      </w:pPr>
      <w:r>
        <w:t>Sampling framework, population definition and sample-size calculation; random, stratified, cluster, systematic and purposive sampling; sample tracking, replacement respondents and completion monitoring.</w:t>
      </w:r>
    </w:p>
    <w:p>
      <w:pPr>
        <w:pStyle w:val="ListBullet"/>
      </w:pPr>
      <w:r>
        <w:t>Fieldwork scheduling; GPS / location and timestamp capture; data validation, skip logic, duplicate detection, supervisor review and data synchronization.</w:t>
      </w:r>
    </w:p>
    <w:p>
      <w:pPr>
        <w:pStyle w:val="ListBullet"/>
      </w:pPr>
      <w:r>
        <w:t>Questionnaire builder — multiple question types and languages, conditional questions and skip patterns, validation rules, survey versions, pilot testing, approval and publishing, survey links / QR codes and response tracking.</w:t>
      </w:r>
    </w:p>
    <w:p>
      <w:pPr>
        <w:pStyle w:val="ListBullet"/>
      </w:pPr>
      <w:r>
        <w:t>Enumerator registration, recruitment, training and certification, study-area assignment, daily targets, interview tracking, performance monitoring, field payments and expenses, supervisor feedback.</w:t>
      </w:r>
    </w:p>
    <w:p>
      <w:pPr>
        <w:pStyle w:val="Heading3"/>
      </w:pPr>
      <w:r>
        <w:t>2.6 Data Quality, Management &amp; Analysis</w:t>
      </w:r>
    </w:p>
    <w:p>
      <w:pPr>
        <w:pStyle w:val="ListBullet"/>
      </w:pPr>
      <w:r>
        <w:t>Automated validation; duplicate, missing-data and outlier detection; enumerator performance monitoring; GPS verification and interview-duration monitoring; back-checks and spot checks; data-quality dashboards and data-cleaning logs.</w:t>
      </w:r>
    </w:p>
    <w:p>
      <w:pPr>
        <w:pStyle w:val="ListBullet"/>
      </w:pPr>
      <w:r>
        <w:t>Data import / export, cleaning, dataset versioning, a data dictionary and codebook, variable management and transformation.</w:t>
      </w:r>
    </w:p>
    <w:p>
      <w:pPr>
        <w:pStyle w:val="ListBullet"/>
      </w:pPr>
      <w:r>
        <w:t>Analysis requests and workflow; statistical-output storage; integration with Excel, CSV, SPSS, Stata, R, Python, Power BI and Tableau.</w:t>
      </w:r>
    </w:p>
    <w:p>
      <w:pPr>
        <w:pStyle w:val="Heading3"/>
      </w:pPr>
      <w:r>
        <w:t>2.7 Qualitative Research Management</w:t>
      </w:r>
    </w:p>
    <w:p>
      <w:pPr>
        <w:pStyle w:val="ListBullet"/>
      </w:pPr>
      <w:r>
        <w:t>Interview and focus-group management, and participant management, guided by interview guides.</w:t>
      </w:r>
    </w:p>
    <w:p>
      <w:pPr>
        <w:pStyle w:val="ListBullet"/>
      </w:pPr>
      <w:r>
        <w:t>Audio-recording references; transcription and translation management.</w:t>
      </w:r>
    </w:p>
    <w:p>
      <w:pPr>
        <w:pStyle w:val="ListBullet"/>
      </w:pPr>
      <w:r>
        <w:t>Coding, themes and categories; research memos; evidence management.</w:t>
      </w:r>
    </w:p>
    <w:p>
      <w:pPr>
        <w:pStyle w:val="Heading3"/>
      </w:pPr>
      <w:r>
        <w:t>2.8 Monitoring &amp; Evaluation (M&amp;E)</w:t>
      </w:r>
    </w:p>
    <w:p>
      <w:pPr>
        <w:pStyle w:val="ListBullet"/>
      </w:pPr>
      <w:r>
        <w:t>Theory of Change, logical framework and results framework; indicators, baselines and targets; actual results and KPI management.</w:t>
      </w:r>
    </w:p>
    <w:p>
      <w:pPr>
        <w:pStyle w:val="ListBullet"/>
      </w:pPr>
      <w:r>
        <w:t>Outcome / output tracking and impact indicators; data sources and means of verification; M&amp;E dashboards.</w:t>
      </w:r>
    </w:p>
    <w:p>
      <w:pPr>
        <w:pStyle w:val="Heading3"/>
      </w:pPr>
      <w:r>
        <w:t>2.9 Reports, Deliverables &amp; Knowledge Management</w:t>
      </w:r>
    </w:p>
    <w:p>
      <w:pPr>
        <w:pStyle w:val="ListBullet"/>
      </w:pPr>
      <w:r>
        <w:t>Inception, baseline, midterm, endline, evaluation, feasibility and market-research reports; policy briefs and research papers; executive summaries, presentations and infographics.</w:t>
      </w:r>
    </w:p>
    <w:p>
      <w:pPr>
        <w:pStyle w:val="ListBullet"/>
      </w:pPr>
      <w:r>
        <w:t>Client deliverables with a review and approval workflow, version control and digital signatures.</w:t>
      </w:r>
    </w:p>
    <w:p>
      <w:pPr>
        <w:pStyle w:val="ListBullet"/>
      </w:pPr>
      <w:r>
        <w:t>A research library — previous studies, research papers and publications, datasets, methodologies, questionnaires, templates, reports, case studies, lessons learned, best practices, policies and SOPs — with advanced search.</w:t>
      </w:r>
    </w:p>
    <w:p>
      <w:pPr>
        <w:pStyle w:val="ListBullet"/>
      </w:pPr>
      <w:r>
        <w:t>A central document repository — project and client folders, contract and research documents, version control, document approval, access permissions, document sharing, expiry and retention, audit trail and full-text search.</w:t>
      </w:r>
    </w:p>
    <w:p>
      <w:pPr>
        <w:pStyle w:val="Heading3"/>
      </w:pPr>
      <w:r>
        <w:t>2.10 Ethics, Risk &amp; Compliance Management</w:t>
      </w:r>
    </w:p>
    <w:p>
      <w:pPr>
        <w:pStyle w:val="ListBullet"/>
      </w:pPr>
      <w:r>
        <w:t>Research ethics applications and approval tracking; consent-form management and participant consent records; research protocols; data-protection procedures and confidentiality agreements; data-retention policies; compliance checklists and approval / renewal reminders.</w:t>
      </w:r>
    </w:p>
    <w:p>
      <w:pPr>
        <w:pStyle w:val="ListBullet"/>
      </w:pPr>
      <w:r>
        <w:t>A risk register covering research, project, fieldwork, security, data, financial and compliance risks; risk scoring; mitigation plans; issue tracking; escalation; corrective actions.</w:t>
      </w:r>
    </w:p>
    <w:p>
      <w:pPr>
        <w:pStyle w:val="Heading3"/>
      </w:pPr>
      <w:r>
        <w:t>2.11 Consultants, Researchers &amp; HR Management</w:t>
      </w:r>
    </w:p>
    <w:p>
      <w:pPr>
        <w:pStyle w:val="ListBullet"/>
      </w:pPr>
      <w:r>
        <w:t>Researcher and consultant profiles — principal investigators, research assistants, enumerators, data analysts, statisticians and subject-matter experts.</w:t>
      </w:r>
    </w:p>
    <w:p>
      <w:pPr>
        <w:pStyle w:val="ListBullet"/>
      </w:pPr>
      <w:r>
        <w:t>CV, qualification and certification management; areas of expertise, languages and geographic experience; availability, project assignments and performance history.</w:t>
      </w:r>
    </w:p>
    <w:p>
      <w:pPr>
        <w:pStyle w:val="ListBullet"/>
      </w:pPr>
      <w:r>
        <w:t>Skills matching, consultant availability, a resource calendar, workload management, researcher / enumerator allocation, conflict detection, geographic assignment, utilization tracking and capacity planning.</w:t>
      </w:r>
    </w:p>
    <w:p>
      <w:pPr>
        <w:pStyle w:val="ListBullet"/>
      </w:pPr>
      <w:r>
        <w:t>The employee and consultant database, recruitment, contracts, attendance, leave, payroll integration, training, performance appraisal, certifications, staff skills, asset allocation, travel management and employee documents.</w:t>
      </w:r>
    </w:p>
    <w:p>
      <w:pPr>
        <w:pStyle w:val="Heading3"/>
      </w:pPr>
      <w:r>
        <w:t>2.12 Project Finance, Timesheets, Invoicing &amp; Procurement</w:t>
      </w:r>
    </w:p>
    <w:p>
      <w:pPr>
        <w:pStyle w:val="ListBullet"/>
      </w:pPr>
      <w:r>
        <w:t>Project budgets — personnel and fieldwork costs, transport, accommodation and per diem, data-collection costs, equipment and subcontractors, administrative costs; budget revisions, budget-versus-actual, project profitability and funding tracking.</w:t>
      </w:r>
    </w:p>
    <w:p>
      <w:pPr>
        <w:pStyle w:val="ListBullet"/>
      </w:pPr>
      <w:r>
        <w:t>Daily and weekly timesheets, project / task-based hours, billable and non-billable hours, consultant rates, timesheet and client approval, hours-versus-budget and utilization reports.</w:t>
      </w:r>
    </w:p>
    <w:p>
      <w:pPr>
        <w:pStyle w:val="ListBullet"/>
      </w:pPr>
      <w:r>
        <w:t>Client invoices — milestone, retainer, timesheet and expense-based billing; payment schedules and tracking; outstanding invoices; receipts; credit notes; client statements; accounts receivable.</w:t>
      </w:r>
    </w:p>
    <w:p>
      <w:pPr>
        <w:pStyle w:val="ListBullet"/>
      </w:pPr>
      <w:r>
        <w:t>Vendor and subcontractor registration, RFQs, purchase requisitions and orders, subcontracts (fieldwork, translation and specialist-consultant providers), supplier evaluation and payment tracking.</w:t>
      </w:r>
    </w:p>
    <w:p>
      <w:pPr>
        <w:pStyle w:val="Heading3"/>
      </w:pPr>
      <w:r>
        <w:t>2.13 Client Portal &amp; Communication</w:t>
      </w:r>
    </w:p>
    <w:p>
      <w:pPr>
        <w:pStyle w:val="ListBullet"/>
      </w:pPr>
      <w:r>
        <w:t>The client can view projects and progress, review and approve deliverables, upload / download documents and reports, view contracts and invoices, submit requests, provide feedback, and communicate directly with the research team.</w:t>
      </w:r>
    </w:p>
    <w:p>
      <w:pPr>
        <w:pStyle w:val="ListBullet"/>
      </w:pPr>
      <w:r>
        <w:t>Internally: messaging, project discussions, email integration, a shared calendar, meeting minutes and action points, notifications, project announcements and document comments.</w:t>
      </w:r>
    </w:p>
    <w:p>
      <w:pPr>
        <w:pStyle w:val="Heading3"/>
      </w:pPr>
      <w:r>
        <w:t>2.14 Management Analytics, Notifications &amp; Security</w:t>
      </w:r>
    </w:p>
    <w:p>
      <w:pPr>
        <w:pStyle w:val="ListBullet"/>
      </w:pPr>
      <w:r>
        <w:t>A management dashboard — active and completed projects, pipeline value, revenue, outstanding invoices, consultant utilization, billable hours, proposal win rate, projects at risk, client satisfaction and contract expiries.</w:t>
      </w:r>
    </w:p>
    <w:p>
      <w:pPr>
        <w:pStyle w:val="ListBullet"/>
      </w:pPr>
      <w:r>
        <w:t>Notifications and alerts for RFP / proposal deadlines, contract expiry, research-milestone deadlines, ethics-approval expiry, fieldwork delays, low sample completion, poor enumerator performance, data-quality problems, deliverables awaiting approval, overdue tasks, outstanding invoices and budget overruns.</w:t>
      </w:r>
    </w:p>
    <w:p>
      <w:pPr>
        <w:pStyle w:val="ListBullet"/>
      </w:pPr>
      <w:r>
        <w:t>Role-Based Access Control and multi-factor authentication; strong password policies and secure sessions; encryption; audit trails and data-access logs; document-level permissions; API security; backup, disaster recovery, data-retention controls and segregation of duties.</w:t>
      </w:r>
    </w:p>
    <w:p>
      <w:pPr>
        <w:pStyle w:val="BodyText"/>
      </w:pPr>
      <w:r>
        <w:t>An optional advanced layer, flagged by the client attachment as forward-looking rather than a near-term requirement: AI-assisted literature discovery, document summarisation, research-question assistance, thematic-analysis assistance, report-drafting assistance, data-quality anomaly detection, automatic executive summaries, research knowledge search and similar-project discovery. Treated the same way as MBMS's other documented external-integration deferrals (Section 3) — a Phase 5 addition once the core platform is built, not a Phase 1 requirement.</w:t>
      </w:r>
    </w:p>
    <w:p>
      <w:pPr>
        <w:pStyle w:val="Heading2"/>
      </w:pPr>
      <w:r>
        <w:t>3. Non-Functional Requirements</w:t>
      </w:r>
    </w:p>
    <w:p>
      <w:pPr>
        <w:pStyle w:val="ListBullet"/>
      </w:pPr>
      <w:r>
        <w:t>Role-based access control with segregation of duties; multi-factor authentication; strong password policies; secure sessions; audit trails and data-access logs; document-level permissions.</w:t>
      </w:r>
    </w:p>
    <w:p>
      <w:pPr>
        <w:pStyle w:val="ListBullet"/>
      </w:pPr>
      <w:r>
        <w:t>Offline-capable mobile / PWA data collection for field teams working in areas with unreliable connectivity, with local auto-save and sync on reconnect.</w:t>
      </w:r>
    </w:p>
    <w:p>
      <w:pPr>
        <w:pStyle w:val="ListBullet"/>
      </w:pPr>
      <w:r>
        <w:t>Data encryption in transit and at rest; automated backups and a documented disaster-recovery plan.</w:t>
      </w:r>
    </w:p>
    <w:p>
      <w:pPr>
        <w:pStyle w:val="ListBullet"/>
      </w:pPr>
      <w:r>
        <w:t>A versioned REST API secured consistently with the rest of MBMS, so the mobile data-collection app and any client-facing integrations authenticate the same way as every other MBMS client.</w:t>
      </w:r>
    </w:p>
    <w:p>
      <w:pPr>
        <w:pStyle w:val="ListBullet"/>
      </w:pPr>
      <w:r>
        <w:t>Participant confidentiality and data-retention controls designed into every module that touches respondent data (Section 2.10), not added afterward.</w:t>
      </w:r>
    </w:p>
    <w:p>
      <w:pPr>
        <w:pStyle w:val="ListBullet"/>
      </w:pPr>
      <w:r>
        <w:t>Reporting and dashboards current enough to drive weekly project-status and fieldwork-progress reviews, and to raise the Section 2.14 alerts before a deadline or quality problem becomes a client-facing issue.</w:t>
      </w:r>
    </w:p>
    <w:p>
      <w:pPr>
        <w:pStyle w:val="Heading2"/>
      </w:pPr>
      <w:r>
        <w:t>4. System Architecture Overview</w:t>
      </w:r>
    </w:p>
    <w:p>
      <w:pPr>
        <w:pStyle w:val="BodyText"/>
      </w:pPr>
      <w:r>
        <w:t>Research &amp; Consultancy Management Information System (RC-MIS), composed of fourteen modules:</w:t>
      </w:r>
    </w:p>
    <w:p>
      <w:pPr>
        <w:pStyle w:val="ListBullet"/>
      </w:pPr>
      <w:r>
        <w:t>Client Relationship Management (CRM)</w:t>
      </w:r>
    </w:p>
    <w:p>
      <w:pPr>
        <w:pStyle w:val="ListBullet"/>
      </w:pPr>
      <w:r>
        <w:t>Proposals &amp; Tender Management</w:t>
      </w:r>
    </w:p>
    <w:p>
      <w:pPr>
        <w:pStyle w:val="ListBullet"/>
      </w:pPr>
      <w:r>
        <w:t>Contracts &amp; Grant Management</w:t>
      </w:r>
    </w:p>
    <w:p>
      <w:pPr>
        <w:pStyle w:val="ListBullet"/>
      </w:pPr>
      <w:r>
        <w:t>Research Project Management</w:t>
      </w:r>
    </w:p>
    <w:p>
      <w:pPr>
        <w:pStyle w:val="ListBullet"/>
      </w:pPr>
      <w:r>
        <w:t>Field Data Collection &amp; Sampling</w:t>
      </w:r>
    </w:p>
    <w:p>
      <w:pPr>
        <w:pStyle w:val="ListBullet"/>
      </w:pPr>
      <w:r>
        <w:t>Data Quality, Management &amp; Analysis</w:t>
      </w:r>
    </w:p>
    <w:p>
      <w:pPr>
        <w:pStyle w:val="ListBullet"/>
      </w:pPr>
      <w:r>
        <w:t>Qualitative Research Management</w:t>
      </w:r>
    </w:p>
    <w:p>
      <w:pPr>
        <w:pStyle w:val="ListBullet"/>
      </w:pPr>
      <w:r>
        <w:t>Monitoring &amp; Evaluation</w:t>
      </w:r>
    </w:p>
    <w:p>
      <w:pPr>
        <w:pStyle w:val="ListBullet"/>
      </w:pPr>
      <w:r>
        <w:t>Reports, Deliverables &amp; Knowledge Management</w:t>
      </w:r>
    </w:p>
    <w:p>
      <w:pPr>
        <w:pStyle w:val="ListBullet"/>
      </w:pPr>
      <w:r>
        <w:t>Ethics, Risk &amp; Compliance</w:t>
      </w:r>
    </w:p>
    <w:p>
      <w:pPr>
        <w:pStyle w:val="ListBullet"/>
      </w:pPr>
      <w:r>
        <w:t>Consultants, Researchers &amp; HR</w:t>
      </w:r>
    </w:p>
    <w:p>
      <w:pPr>
        <w:pStyle w:val="ListBullet"/>
      </w:pPr>
      <w:r>
        <w:t>Project Finance, Timesheets &amp; Invoicing</w:t>
      </w:r>
    </w:p>
    <w:p>
      <w:pPr>
        <w:pStyle w:val="ListBullet"/>
      </w:pPr>
      <w:r>
        <w:t>Client Portal &amp; Communication</w:t>
      </w:r>
    </w:p>
    <w:p>
      <w:pPr>
        <w:pStyle w:val="ListBullet"/>
      </w:pPr>
      <w:r>
        <w:t>Management Analytics &amp; Security</w:t>
      </w:r>
    </w:p>
    <w:p>
      <w:pPr>
        <w:pStyle w:val="Heading2"/>
      </w:pPr>
      <w:r>
        <w:t>5. Key Integration Points</w:t>
      </w:r>
    </w:p>
    <w:tbl>
      <w:tblPr>
        <w:tblStyle w:val="TableGrid"/>
        <w:tblW w:type="auto" w:w="0"/>
        <w:tblLook w:firstColumn="1" w:firstRow="1" w:lastColumn="0" w:lastRow="0" w:noHBand="0" w:noVBand="1" w:val="04A0"/>
      </w:tblPr>
      <w:tblGrid>
        <w:gridCol w:w="4320"/>
        <w:gridCol w:w="4320"/>
      </w:tblGrid>
      <w:tr>
        <w:tc>
          <w:tcPr>
            <w:tcW w:type="dxa" w:w="4320"/>
          </w:tcPr>
          <w:p>
            <w:r>
              <w:t>Integration</w:t>
            </w:r>
          </w:p>
        </w:tc>
        <w:tc>
          <w:tcPr>
            <w:tcW w:type="dxa" w:w="4320"/>
          </w:tcPr>
          <w:p>
            <w:r>
              <w:t>Purpose</w:t>
            </w:r>
          </w:p>
        </w:tc>
      </w:tr>
      <w:tr>
        <w:tc>
          <w:tcPr>
            <w:tcW w:type="dxa" w:w="4320"/>
          </w:tcPr>
          <w:p>
            <w:r>
              <w:t>Mobile data-collection app (PWA / Android)</w:t>
            </w:r>
          </w:p>
        </w:tc>
        <w:tc>
          <w:tcPr>
            <w:tcW w:type="dxa" w:w="4320"/>
          </w:tcPr>
          <w:p>
            <w:r>
              <w:t>Offline questionnaire delivery to enumerators, with GPS and timestamp capture, syncing to the server on reconnect.</w:t>
            </w:r>
          </w:p>
        </w:tc>
      </w:tr>
      <w:tr>
        <w:tc>
          <w:tcPr>
            <w:tcW w:type="dxa" w:w="4320"/>
          </w:tcPr>
          <w:p>
            <w:r>
              <w:t>GPS / location services</w:t>
            </w:r>
          </w:p>
        </w:tc>
        <w:tc>
          <w:tcPr>
            <w:tcW w:type="dxa" w:w="4320"/>
          </w:tcPr>
          <w:p>
            <w:r>
              <w:t>Verifies an interview took place within the assigned study area, and timestamps fieldwork for supervisor review.</w:t>
            </w:r>
          </w:p>
        </w:tc>
      </w:tr>
      <w:tr>
        <w:tc>
          <w:tcPr>
            <w:tcW w:type="dxa" w:w="4320"/>
          </w:tcPr>
          <w:p>
            <w:r>
              <w:t>SMS / email gateway</w:t>
            </w:r>
          </w:p>
        </w:tc>
        <w:tc>
          <w:tcPr>
            <w:tcW w:type="dxa" w:w="4320"/>
          </w:tcPr>
          <w:p>
            <w:r>
              <w:t>Field-team and client notifications — deadlines, approvals, fieldwork alerts — reaching people without needing to be logged in.</w:t>
            </w:r>
          </w:p>
        </w:tc>
      </w:tr>
      <w:tr>
        <w:tc>
          <w:tcPr>
            <w:tcW w:type="dxa" w:w="4320"/>
          </w:tcPr>
          <w:p>
            <w:r>
              <w:t>Statistical software (SPSS, Stata, R, Python)</w:t>
            </w:r>
          </w:p>
        </w:tc>
        <w:tc>
          <w:tcPr>
            <w:tcW w:type="dxa" w:w="4320"/>
          </w:tcPr>
          <w:p>
            <w:r>
              <w:t>Exports cleaned datasets for advanced statistical analysis outside the platform, and can ingest analysis outputs back in.</w:t>
            </w:r>
          </w:p>
        </w:tc>
      </w:tr>
      <w:tr>
        <w:tc>
          <w:tcPr>
            <w:tcW w:type="dxa" w:w="4320"/>
          </w:tcPr>
          <w:p>
            <w:r>
              <w:t>Power BI / Tableau</w:t>
            </w:r>
          </w:p>
        </w:tc>
        <w:tc>
          <w:tcPr>
            <w:tcW w:type="dxa" w:w="4320"/>
          </w:tcPr>
          <w:p>
            <w:r>
              <w:t>Feeds the management-analytics and M&amp;E dashboards for clients or executives who prefer their own BI tooling.</w:t>
            </w:r>
          </w:p>
        </w:tc>
      </w:tr>
      <w:tr>
        <w:tc>
          <w:tcPr>
            <w:tcW w:type="dxa" w:w="4320"/>
          </w:tcPr>
          <w:p>
            <w:r>
              <w:t>E-signature</w:t>
            </w:r>
          </w:p>
        </w:tc>
        <w:tc>
          <w:tcPr>
            <w:tcW w:type="dxa" w:w="4320"/>
          </w:tcPr>
          <w:p>
            <w:r>
              <w:t>Signs off proposals, contracts and final deliverables without a physical document round-trip.</w:t>
            </w:r>
          </w:p>
        </w:tc>
      </w:tr>
      <w:tr>
        <w:tc>
          <w:tcPr>
            <w:tcW w:type="dxa" w:w="4320"/>
          </w:tcPr>
          <w:p>
            <w:r>
              <w:t>Payment gateway</w:t>
            </w:r>
          </w:p>
        </w:tc>
        <w:tc>
          <w:tcPr>
            <w:tcW w:type="dxa" w:w="4320"/>
          </w:tcPr>
          <w:p>
            <w:r>
              <w:t>Collects client payments against milestone, retainer or timesheet-based invoices.</w:t>
            </w:r>
          </w:p>
        </w:tc>
      </w:tr>
      <w:tr>
        <w:tc>
          <w:tcPr>
            <w:tcW w:type="dxa" w:w="4320"/>
          </w:tcPr>
          <w:p>
            <w:r>
              <w:t>Nextcloud / S3-compatible file storage</w:t>
            </w:r>
          </w:p>
        </w:tc>
        <w:tc>
          <w:tcPr>
            <w:tcW w:type="dxa" w:w="4320"/>
          </w:tcPr>
          <w:p>
            <w:r>
              <w:t>Backs the document repository and research library — large files (datasets, recordings, reports) kept outside the primary database.</w:t>
            </w:r>
          </w:p>
        </w:tc>
      </w:tr>
    </w:tbl>
    <w:p>
      <w:pPr>
        <w:pStyle w:val="Heading2"/>
      </w:pPr>
      <w:r>
        <w:t>6. User Roles</w:t>
      </w:r>
    </w:p>
    <w:p>
      <w:pPr>
        <w:pStyle w:val="BodyText"/>
      </w:pPr>
      <w:r>
        <w:t>The client attachment's modules imply the following roles; each would map onto an MBMS role or a research-specific extension of one:</w:t>
      </w:r>
    </w:p>
    <w:p>
      <w:pPr>
        <w:pStyle w:val="ListBullet"/>
      </w:pPr>
      <w:r>
        <w:t>Super Administrator</w:t>
      </w:r>
    </w:p>
    <w:p>
      <w:pPr>
        <w:pStyle w:val="ListBullet"/>
      </w:pPr>
      <w:r>
        <w:t>Managing Director / Research Director</w:t>
      </w:r>
    </w:p>
    <w:p>
      <w:pPr>
        <w:pStyle w:val="ListBullet"/>
      </w:pPr>
      <w:r>
        <w:t>Project Manager / Principal Investigator</w:t>
      </w:r>
    </w:p>
    <w:p>
      <w:pPr>
        <w:pStyle w:val="ListBullet"/>
      </w:pPr>
      <w:r>
        <w:t>Monitoring &amp; Evaluation Manager</w:t>
      </w:r>
    </w:p>
    <w:p>
      <w:pPr>
        <w:pStyle w:val="ListBullet"/>
      </w:pPr>
      <w:r>
        <w:t>Data Manager</w:t>
      </w:r>
    </w:p>
    <w:p>
      <w:pPr>
        <w:pStyle w:val="ListBullet"/>
      </w:pPr>
      <w:r>
        <w:t>Statistician / Data Analyst</w:t>
      </w:r>
    </w:p>
    <w:p>
      <w:pPr>
        <w:pStyle w:val="ListBullet"/>
      </w:pPr>
      <w:r>
        <w:t>Qualitative Researcher</w:t>
      </w:r>
    </w:p>
    <w:p>
      <w:pPr>
        <w:pStyle w:val="ListBullet"/>
      </w:pPr>
      <w:r>
        <w:t>Field Supervisor</w:t>
      </w:r>
    </w:p>
    <w:p>
      <w:pPr>
        <w:pStyle w:val="ListBullet"/>
      </w:pPr>
      <w:r>
        <w:t>Enumerator</w:t>
      </w:r>
    </w:p>
    <w:p>
      <w:pPr>
        <w:pStyle w:val="ListBullet"/>
      </w:pPr>
      <w:r>
        <w:t>Business Development / Proposals Officer</w:t>
      </w:r>
    </w:p>
    <w:p>
      <w:pPr>
        <w:pStyle w:val="ListBullet"/>
      </w:pPr>
      <w:r>
        <w:t>Contracts &amp; Grants Officer</w:t>
      </w:r>
    </w:p>
    <w:p>
      <w:pPr>
        <w:pStyle w:val="ListBullet"/>
      </w:pPr>
      <w:r>
        <w:t>Finance Officer</w:t>
      </w:r>
    </w:p>
    <w:p>
      <w:pPr>
        <w:pStyle w:val="ListBullet"/>
      </w:pPr>
      <w:r>
        <w:t>HR Officer</w:t>
      </w:r>
    </w:p>
    <w:p>
      <w:pPr>
        <w:pStyle w:val="ListBullet"/>
      </w:pPr>
      <w:r>
        <w:t>Client (portal user)</w:t>
      </w:r>
    </w:p>
    <w:p>
      <w:pPr>
        <w:pStyle w:val="Heading2"/>
      </w:pPr>
      <w:r>
        <w:t>7. Suggested Technology Stack</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Recommended Technology</w:t>
            </w:r>
          </w:p>
        </w:tc>
      </w:tr>
      <w:tr>
        <w:tc>
          <w:tcPr>
            <w:tcW w:type="dxa" w:w="4320"/>
          </w:tcPr>
          <w:p>
            <w:r>
              <w:t>Frontend</w:t>
            </w:r>
          </w:p>
        </w:tc>
        <w:tc>
          <w:tcPr>
            <w:tcW w:type="dxa" w:w="4320"/>
          </w:tcPr>
          <w:p>
            <w:r>
              <w:t>HTML, CSS, Bootstrap, JavaScript / TypeScript</w:t>
            </w:r>
          </w:p>
        </w:tc>
      </w:tr>
      <w:tr>
        <w:tc>
          <w:tcPr>
            <w:tcW w:type="dxa" w:w="4320"/>
          </w:tcPr>
          <w:p>
            <w:r>
              <w:t>Backend</w:t>
            </w:r>
          </w:p>
        </w:tc>
        <w:tc>
          <w:tcPr>
            <w:tcW w:type="dxa" w:w="4320"/>
          </w:tcPr>
          <w:p>
            <w:r>
              <w:t>Node.js / Express or Spring Boot</w:t>
            </w:r>
          </w:p>
        </w:tc>
      </w:tr>
      <w:tr>
        <w:tc>
          <w:tcPr>
            <w:tcW w:type="dxa" w:w="4320"/>
          </w:tcPr>
          <w:p>
            <w:r>
              <w:t>Database</w:t>
            </w:r>
          </w:p>
        </w:tc>
        <w:tc>
          <w:tcPr>
            <w:tcW w:type="dxa" w:w="4320"/>
          </w:tcPr>
          <w:p>
            <w:r>
              <w:t>PostgreSQL</w:t>
            </w:r>
          </w:p>
        </w:tc>
      </w:tr>
      <w:tr>
        <w:tc>
          <w:tcPr>
            <w:tcW w:type="dxa" w:w="4320"/>
          </w:tcPr>
          <w:p>
            <w:r>
              <w:t>API</w:t>
            </w:r>
          </w:p>
        </w:tc>
        <w:tc>
          <w:tcPr>
            <w:tcW w:type="dxa" w:w="4320"/>
          </w:tcPr>
          <w:p>
            <w:r>
              <w:t>REST API</w:t>
            </w:r>
          </w:p>
        </w:tc>
      </w:tr>
      <w:tr>
        <w:tc>
          <w:tcPr>
            <w:tcW w:type="dxa" w:w="4320"/>
          </w:tcPr>
          <w:p>
            <w:r>
              <w:t>Authentication</w:t>
            </w:r>
          </w:p>
        </w:tc>
        <w:tc>
          <w:tcPr>
            <w:tcW w:type="dxa" w:w="4320"/>
          </w:tcPr>
          <w:p>
            <w:r>
              <w:t>JWT + MFA</w:t>
            </w:r>
          </w:p>
        </w:tc>
      </w:tr>
      <w:tr>
        <w:tc>
          <w:tcPr>
            <w:tcW w:type="dxa" w:w="4320"/>
          </w:tcPr>
          <w:p>
            <w:r>
              <w:t>Mobile Data Collection</w:t>
            </w:r>
          </w:p>
        </w:tc>
        <w:tc>
          <w:tcPr>
            <w:tcW w:type="dxa" w:w="4320"/>
          </w:tcPr>
          <w:p>
            <w:r>
              <w:t>PWA / Android application</w:t>
            </w:r>
          </w:p>
        </w:tc>
      </w:tr>
      <w:tr>
        <w:tc>
          <w:tcPr>
            <w:tcW w:type="dxa" w:w="4320"/>
          </w:tcPr>
          <w:p>
            <w:r>
              <w:t>File Storage</w:t>
            </w:r>
          </w:p>
        </w:tc>
        <w:tc>
          <w:tcPr>
            <w:tcW w:type="dxa" w:w="4320"/>
          </w:tcPr>
          <w:p>
            <w:r>
              <w:t>Nextcloud / S3-compatible storage</w:t>
            </w:r>
          </w:p>
        </w:tc>
      </w:tr>
      <w:tr>
        <w:tc>
          <w:tcPr>
            <w:tcW w:type="dxa" w:w="4320"/>
          </w:tcPr>
          <w:p>
            <w:r>
              <w:t>Containers</w:t>
            </w:r>
          </w:p>
        </w:tc>
        <w:tc>
          <w:tcPr>
            <w:tcW w:type="dxa" w:w="4320"/>
          </w:tcPr>
          <w:p>
            <w:r>
              <w:t>Docker &amp; Docker Compose</w:t>
            </w:r>
          </w:p>
        </w:tc>
      </w:tr>
      <w:tr>
        <w:tc>
          <w:tcPr>
            <w:tcW w:type="dxa" w:w="4320"/>
          </w:tcPr>
          <w:p>
            <w:r>
              <w:t>Reverse Proxy</w:t>
            </w:r>
          </w:p>
        </w:tc>
        <w:tc>
          <w:tcPr>
            <w:tcW w:type="dxa" w:w="4320"/>
          </w:tcPr>
          <w:p>
            <w:r>
              <w:t>Traefik</w:t>
            </w:r>
          </w:p>
        </w:tc>
      </w:tr>
      <w:tr>
        <w:tc>
          <w:tcPr>
            <w:tcW w:type="dxa" w:w="4320"/>
          </w:tcPr>
          <w:p>
            <w:r>
              <w:t>CI/CD</w:t>
            </w:r>
          </w:p>
        </w:tc>
        <w:tc>
          <w:tcPr>
            <w:tcW w:type="dxa" w:w="4320"/>
          </w:tcPr>
          <w:p>
            <w:r>
              <w:t>GitLab + GitLab Runner</w:t>
            </w:r>
          </w:p>
        </w:tc>
      </w:tr>
      <w:tr>
        <w:tc>
          <w:tcPr>
            <w:tcW w:type="dxa" w:w="4320"/>
          </w:tcPr>
          <w:p>
            <w:r>
              <w:t>Monitoring</w:t>
            </w:r>
          </w:p>
        </w:tc>
        <w:tc>
          <w:tcPr>
            <w:tcW w:type="dxa" w:w="4320"/>
          </w:tcPr>
          <w:p>
            <w:r>
              <w:t>Prometheus + Grafana</w:t>
            </w:r>
          </w:p>
        </w:tc>
      </w:tr>
      <w:tr>
        <w:tc>
          <w:tcPr>
            <w:tcW w:type="dxa" w:w="4320"/>
          </w:tcPr>
          <w:p>
            <w:r>
              <w:t>Tracing</w:t>
            </w:r>
          </w:p>
        </w:tc>
        <w:tc>
          <w:tcPr>
            <w:tcW w:type="dxa" w:w="4320"/>
          </w:tcPr>
          <w:p>
            <w:r>
              <w:t>Jaeger</w:t>
            </w:r>
          </w:p>
        </w:tc>
      </w:tr>
      <w:tr>
        <w:tc>
          <w:tcPr>
            <w:tcW w:type="dxa" w:w="4320"/>
          </w:tcPr>
          <w:p>
            <w:r>
              <w:t>Logging</w:t>
            </w:r>
          </w:p>
        </w:tc>
        <w:tc>
          <w:tcPr>
            <w:tcW w:type="dxa" w:w="4320"/>
          </w:tcPr>
          <w:p>
            <w:r>
              <w:t>EFK / ELK</w:t>
            </w:r>
          </w:p>
        </w:tc>
      </w:tr>
      <w:tr>
        <w:tc>
          <w:tcPr>
            <w:tcW w:type="dxa" w:w="4320"/>
          </w:tcPr>
          <w:p>
            <w:r>
              <w:t>Backups</w:t>
            </w:r>
          </w:p>
        </w:tc>
        <w:tc>
          <w:tcPr>
            <w:tcW w:type="dxa" w:w="4320"/>
          </w:tcPr>
          <w:p>
            <w:r>
              <w:t>Borg + Borgmatic</w:t>
            </w:r>
          </w:p>
        </w:tc>
      </w:tr>
      <w:tr>
        <w:tc>
          <w:tcPr>
            <w:tcW w:type="dxa" w:w="4320"/>
          </w:tcPr>
          <w:p>
            <w:r>
              <w:t>Infrastructure</w:t>
            </w:r>
          </w:p>
        </w:tc>
        <w:tc>
          <w:tcPr>
            <w:tcW w:type="dxa" w:w="4320"/>
          </w:tcPr>
          <w:p>
            <w:r>
              <w:t>Ansible + LXC</w:t>
            </w:r>
          </w:p>
        </w:tc>
      </w:tr>
      <w:tr>
        <w:tc>
          <w:tcPr>
            <w:tcW w:type="dxa" w:w="4320"/>
          </w:tcPr>
          <w:p>
            <w:r>
              <w:t>Secure Network</w:t>
            </w:r>
          </w:p>
        </w:tc>
        <w:tc>
          <w:tcPr>
            <w:tcW w:type="dxa" w:w="4320"/>
          </w:tcPr>
          <w:p>
            <w:r>
              <w:t>WireGuard</w:t>
            </w:r>
          </w:p>
        </w:tc>
      </w:tr>
      <w:tr>
        <w:tc>
          <w:tcPr>
            <w:tcW w:type="dxa" w:w="4320"/>
          </w:tcPr>
          <w:p>
            <w:r>
              <w:t>Analytics</w:t>
            </w:r>
          </w:p>
        </w:tc>
        <w:tc>
          <w:tcPr>
            <w:tcW w:type="dxa" w:w="4320"/>
          </w:tcPr>
          <w:p>
            <w:r>
              <w:t>Power BI / Metabase</w:t>
            </w:r>
          </w:p>
        </w:tc>
      </w:tr>
      <w:tr>
        <w:tc>
          <w:tcPr>
            <w:tcW w:type="dxa" w:w="4320"/>
          </w:tcPr>
          <w:p>
            <w:r>
              <w:t>Statistical Analysis</w:t>
            </w:r>
          </w:p>
        </w:tc>
        <w:tc>
          <w:tcPr>
            <w:tcW w:type="dxa" w:w="4320"/>
          </w:tcPr>
          <w:p>
            <w:r>
              <w:t>R / Python / SPSS / Stata integration</w:t>
            </w:r>
          </w:p>
        </w:tc>
      </w:tr>
    </w:tbl>
    <w:p>
      <w:pPr>
        <w:pStyle w:val="BodyText"/>
      </w:pPr>
      <w:r>
        <w:t>MBMS itself is built on NestJS / Fastify + Prisma + PostgreSQL + Redis + Docker with a JWT-secured REST API and a generated OpenAPI contract; a research-and-consultancy build would extend that platform rather than stand up a separate stack, adding the mobile/PWA data-collection layer, statistical-software integration and file storage above.</w:t>
      </w:r>
    </w:p>
    <w:p>
      <w:pPr>
        <w:pStyle w:val="Heading2"/>
      </w:pPr>
      <w:r>
        <w:t>8. Organisation as Built (in MBMS today)</w:t>
      </w:r>
    </w:p>
    <w:p>
      <w:pPr>
        <w:pStyle w:val="Heading3"/>
      </w:pPr>
      <w:r>
        <w:t>8.1 Company</w:t>
      </w:r>
    </w:p>
    <w:p>
      <w:pPr>
        <w:pStyle w:val="BodyText"/>
      </w:pPr>
      <w:r>
        <w:t>Morise Research &amp; Consultancy Ltd — company id a1000000-0000-4000-8000-000000000008, a wholly-owned (100%) subsidiary of Morise Holdings Limited, currency UGX, financial year starting 1 January 2026, registered at Plot 7, Acacia Avenue, Kololo, Kampala. Created and managed by the Managing Director under the subsidiary-lifecycle capability (Update 34).</w:t>
      </w:r>
    </w:p>
    <w:p>
      <w:pPr>
        <w:pStyle w:val="Heading3"/>
      </w:pPr>
      <w:r>
        <w:t>8.2 Sites / Branches</w:t>
      </w:r>
    </w:p>
    <w:p>
      <w:pPr>
        <w:pStyle w:val="ListBullet"/>
      </w:pPr>
      <w:r>
        <w:t>Kampala Head Office — Acacia Avenue, Kololo, Kampala.</w:t>
      </w:r>
    </w:p>
    <w:p>
      <w:pPr>
        <w:pStyle w:val="ListBullet"/>
      </w:pPr>
      <w:r>
        <w:t>Northern Regional Field Office — Gulu.</w:t>
      </w:r>
    </w:p>
    <w:p>
      <w:pPr>
        <w:pStyle w:val="ListBullet"/>
      </w:pPr>
      <w:r>
        <w:t>Eastern Regional Field Office — Mbale.</w:t>
      </w:r>
    </w:p>
    <w:p>
      <w:pPr>
        <w:pStyle w:val="ListBullet"/>
      </w:pPr>
      <w:r>
        <w:t>Western Regional Field Office — Mbarara.</w:t>
      </w:r>
    </w:p>
    <w:p>
      <w:pPr>
        <w:pStyle w:val="ListBullet"/>
      </w:pPr>
      <w:r>
        <w:t>Karamoja Field Station — Moroto.</w:t>
      </w:r>
    </w:p>
    <w:p>
      <w:pPr>
        <w:pStyle w:val="Heading3"/>
      </w:pPr>
      <w:r>
        <w:t>8.3 Departments</w:t>
      </w:r>
    </w:p>
    <w:p>
      <w:pPr>
        <w:pStyle w:val="BodyText"/>
      </w:pPr>
      <w:r>
        <w:t>Twelve departments condensing the fourteen-node RC-MIS architecture in Section 4 (Client Portal and Management Analytics are cross-cutting capabilities, not standing departments, so they are folded into IT / Systems and into Reports &amp; Knowledge respectively): Client &amp; Business Development; Contracts &amp; Grants Management; Research Design &amp; Methodology; Field Operations &amp; Data Collection; Data Quality &amp; Management; Data Analysis &amp; Qualitative Research; Monitoring &amp; Evaluation; Reports, Deliverables &amp; Knowledge Management; Ethics &amp; Compliance; Finance, Procurement &amp; Subcontracting; Human Resources &amp; Consultant Management; IT, Client Portal &amp; Systems.</w:t>
      </w:r>
    </w:p>
    <w:p>
      <w:pPr>
        <w:pStyle w:val="Heading3"/>
      </w:pPr>
      <w:r>
        <w:t>8.4 Starter Policies</w:t>
      </w:r>
    </w:p>
    <w:p>
      <w:pPr>
        <w:pStyle w:val="ListBullet"/>
      </w:pPr>
      <w:r>
        <w:t>Research Ethics &amp; Informed Consent (Compliance) — every research project involving human participants requires ethics approval before fieldwork begins; enumerators must obtain and record informed consent from every respondent before an interview starts.</w:t>
      </w:r>
    </w:p>
    <w:p>
      <w:pPr>
        <w:pStyle w:val="ListBullet"/>
      </w:pPr>
      <w:r>
        <w:t>Data Protection &amp; Participant Confidentiality (Compliance) — personally identifying respondent data is anonymised or pseudonymised before analysis and storage; access to raw survey data is restricted to the assigned research team, and any data-sharing with a client or third party requires Ethics &amp; Compliance review.</w:t>
      </w:r>
    </w:p>
    <w:p>
      <w:pPr>
        <w:pStyle w:val="ListBullet"/>
      </w:pPr>
      <w:r>
        <w:t>Fieldwork Safety &amp; Security (Operations) — field teams travelling to a study area are registered with a check-in / check-out schedule and an emergency contact; travel to a flagged high-risk area requires prior sign-off from the project manager and a security briefing.</w:t>
      </w:r>
    </w:p>
    <w:p>
      <w:pPr>
        <w:pStyle w:val="ListBullet"/>
      </w:pPr>
      <w:r>
        <w:t>Data Quality Assurance (Operations) — every completed questionnaire is validated for completeness, duplicates and outliers before acceptance; back-checks are conducted on a minimum sample of each enumerator's interviews, and an enumerator falling below the agreed quality threshold is retrained or reassigned.</w:t>
      </w:r>
    </w:p>
    <w:p>
      <w:pPr>
        <w:pStyle w:val="ListBullet"/>
      </w:pPr>
      <w:r>
        <w:t>Consultant &amp; Enumerator Conflict of Interest (Compliance) — every consultant, principal investigator and enumerator discloses any personal, financial or organisational interest in a client or study population before assignment; an undisclosed conflict discovered after assignment triggers immediate reassignment and a compliance review.</w:t>
      </w:r>
    </w:p>
    <w:p>
      <w:pPr>
        <w:pStyle w:val="ListBullet"/>
      </w:pPr>
      <w:r>
        <w:t>Contract, Grant &amp; Proposal Compliance (Compliance) — every proposal, contract and grant is checked against the funder or client's compliance requirements (reporting schedule, permitted costs, procurement rules) before signature; a missed funder reporting deadline is escalated to the Managing Director within 48 hours.</w:t>
      </w:r>
    </w:p>
    <w:p>
      <w:pPr>
        <w:pStyle w:val="Heading2"/>
      </w:pPr>
      <w:r>
        <w:t>9. Delivery Roadmap (Phased Backlog)</w:t>
      </w:r>
    </w:p>
    <w:p>
      <w:pPr>
        <w:pStyle w:val="BodyText"/>
      </w:pPr>
      <w:r>
        <w:t>Phase 1 — Foundations: client and contact management; research project registration and reference numbers; contracts and grants; project budgets and the finance master data they run on.</w:t>
      </w:r>
    </w:p>
    <w:p>
      <w:pPr>
        <w:pStyle w:val="BodyText"/>
      </w:pPr>
      <w:r>
        <w:t>Phase 2 — Proposals &amp; Fieldwork: proposal / tender management; the questionnaire builder; mobile and offline data collection; enumerator management; sampling management and fieldwork scheduling.</w:t>
      </w:r>
    </w:p>
    <w:p>
      <w:pPr>
        <w:pStyle w:val="BodyText"/>
      </w:pPr>
      <w:r>
        <w:t>Phase 3 — Data Quality &amp; Analysis: automated validation and back-checks; data-quality dashboards; statistical-software integration; qualitative-research coding and evidence management.</w:t>
      </w:r>
    </w:p>
    <w:p>
      <w:pPr>
        <w:pStyle w:val="BodyText"/>
      </w:pPr>
      <w:r>
        <w:t>Phase 4 — M&amp;E &amp; Reporting: Theory of Change / logframe and M&amp;E dashboards; the report and deliverable review-and-approval workflow; the knowledge library and the central document repository.</w:t>
      </w:r>
    </w:p>
    <w:p>
      <w:pPr>
        <w:pStyle w:val="BodyText"/>
      </w:pPr>
      <w:r>
        <w:t>Phase 5 — Client Portal &amp; Intelligence: the client portal; the management-analytics dashboard; notifications and alerts; the optional AI-assisted research layer (Section 2.14); the full security hardening in Section 3.</w:t>
      </w:r>
    </w:p>
    <w:p>
      <w:pPr>
        <w:pStyle w:val="Heading2"/>
      </w:pPr>
      <w:r>
        <w:t>10. Relationship to the Existing MBMS Platform</w:t>
      </w:r>
    </w:p>
    <w:p>
      <w:pPr>
        <w:pStyle w:val="BodyText"/>
      </w:pPr>
      <w:r>
        <w:t>A research-and-consultancy build would reuse large parts of MBMS rather than start over:</w:t>
      </w:r>
    </w:p>
    <w:p>
      <w:pPr>
        <w:pStyle w:val="ListBullet"/>
      </w:pPr>
      <w:r>
        <w:t>Customers / CRM — the Customer master, contact management and communication history already exist (Sales module); would extend with client categories (government / NGO / private-sector / institutional) and satisfaction tracking.</w:t>
      </w:r>
    </w:p>
    <w:p>
      <w:pPr>
        <w:pStyle w:val="ListBullet"/>
      </w:pPr>
      <w:r>
        <w:t>Contracts, invoicing and Accounts Receivable — client invoices (milestone, retainer, timesheet and expense-based), payment tracking, credit notes, client statements and AR already exist.</w:t>
      </w:r>
    </w:p>
    <w:p>
      <w:pPr>
        <w:pStyle w:val="ListBullet"/>
      </w:pPr>
      <w:r>
        <w:t>Project Management — the Projects module (tasks, milestones, budgets — Sprint 12) already exists and would extend with research-specific fields (methodology, geographic coverage, ethics-approval status).</w:t>
      </w:r>
    </w:p>
    <w:p>
      <w:pPr>
        <w:pStyle w:val="ListBullet"/>
      </w:pPr>
      <w:r>
        <w:t>Timesheets and Payroll — Shift Scheduling, Attendance and Payroll (Uganda PAYE / NSSF) already exist; would extend to project / task-based billable timesheets and consultant day-rates.</w:t>
      </w:r>
    </w:p>
    <w:p>
      <w:pPr>
        <w:pStyle w:val="ListBullet"/>
      </w:pPr>
      <w:r>
        <w:t>HR and consultant management — the Employee database, recruitment, training, performance and certifications already exist; enumerator-specific fields (study-area assignment, daily targets, field payments) would extend them.</w:t>
      </w:r>
    </w:p>
    <w:p>
      <w:pPr>
        <w:pStyle w:val="ListBullet"/>
      </w:pPr>
      <w:r>
        <w:t>Alerts &amp; Notifications, the executive answer layer and the Audit Trail — already exist and would carry the research-specific alerts (deadlines, ethics-approval expiry, fieldwork delays, data-quality problems).</w:t>
      </w:r>
    </w:p>
    <w:p>
      <w:pPr>
        <w:pStyle w:val="ListBullet"/>
      </w:pPr>
      <w:r>
        <w:t>Genuinely new, research-specific work: the mobile / offline survey and questionnaire builder, sampling management, enumerator field-operations tracking, data-quality dashboards, qualitative-research coding tools, the M&amp;E Theory-of-Change / logframe module, the knowledge library, and the optional AI-assisted research features.</w:t>
      </w:r>
    </w:p>
    <w:p>
      <w:pPr>
        <w:pStyle w:val="Heading2"/>
      </w:pPr>
      <w:r>
        <w:t>11. Approval</w:t>
      </w:r>
    </w:p>
    <w:p>
      <w:pPr>
        <w:pStyle w:val="BodyText"/>
      </w:pPr>
      <w:r>
        <w:t>Prepared for Morise Holdings Limited as Document 25 of the project set. The organisation of Morise Research &amp; Consultancy Ltd (company, five field offices, twelve departments, six starter policies) is seeded in MBMS and live under the subsidiary-lifecycle capability. The RC-MIS itself remains a specification pending prioritisation against the other spec-stage subsidiary backlogs (docx/19-23).</w:t>
      </w:r>
    </w:p>
    <w:p>
      <w:pPr>
        <w:pStyle w:val="Heading2"/>
      </w:pPr>
      <w:r>
        <w:t>Addendum (9 September 2026) — Services Catalogue Seeded for Morise Research &amp; Consultancy Ltd</w:t>
      </w:r>
    </w:p>
    <w:p>
      <w:pPr>
        <w:pStyle w:val="BodyText"/>
      </w:pPr>
      <w:r>
        <w:t>Morise Research &amp; Consultancy Ltd was seeded in Update 99 (9 September 2026) as a spec-stage subsidiary with five field offices, twelve departments and zero products, on the reasoning that a consultancy is billed on contracts and timesheets rather than a priced catalogue. An administrator asked to add its products; following the precedent set by Morise Collateral Management Ltd (also contract-billed, but carrying a priced services catalogue since Update 60), this addendum records the first services catalogue seeded against this specification (Implementation Status Update 100, 9 September 2026).</w:t>
      </w:r>
    </w:p>
    <w:p>
      <w:pPr>
        <w:pStyle w:val="Heading3"/>
      </w:pPr>
      <w:r>
        <w:t>Categories and services seeded</w:t>
      </w:r>
    </w:p>
    <w:tbl>
      <w:tblPr>
        <w:tblStyle w:val="TableGrid"/>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Items</w:t>
            </w:r>
          </w:p>
        </w:tc>
        <w:tc>
          <w:tcPr>
            <w:tcW w:type="dxa" w:w="2880"/>
          </w:tcPr>
          <w:p>
            <w:r>
              <w:t>Notes</w:t>
            </w:r>
          </w:p>
        </w:tc>
      </w:tr>
      <w:tr>
        <w:tc>
          <w:tcPr>
            <w:tcW w:type="dxa" w:w="2880"/>
          </w:tcPr>
          <w:p>
            <w:r>
              <w:t>Research &amp; Evaluation Studies</w:t>
            </w:r>
          </w:p>
        </w:tc>
        <w:tc>
          <w:tcPr>
            <w:tcW w:type="dxa" w:w="2880"/>
          </w:tcPr>
          <w:p>
            <w:r>
              <w:t>6</w:t>
            </w:r>
          </w:p>
        </w:tc>
        <w:tc>
          <w:tcPr>
            <w:tcW w:type="dxa" w:w="2880"/>
          </w:tcPr>
          <w:p>
            <w:r>
              <w:t>Baseline study, midline/endline evaluation, impact assessment, feasibility study, market research study and needs assessment — the core deliverable-generating engagements (section 2.4).</w:t>
            </w:r>
          </w:p>
        </w:tc>
      </w:tr>
      <w:tr>
        <w:tc>
          <w:tcPr>
            <w:tcW w:type="dxa" w:w="2880"/>
          </w:tcPr>
          <w:p>
            <w:r>
              <w:t>Field Data Collection</w:t>
            </w:r>
          </w:p>
        </w:tc>
        <w:tc>
          <w:tcPr>
            <w:tcW w:type="dxa" w:w="2880"/>
          </w:tcPr>
          <w:p>
            <w:r>
              <w:t>4</w:t>
            </w:r>
          </w:p>
        </w:tc>
        <w:tc>
          <w:tcPr>
            <w:tcW w:type="dxa" w:w="2880"/>
          </w:tcPr>
          <w:p>
            <w:r>
              <w:t>Quantitative household-survey enumeration, qualitative FGDs/KIIs, mobile/offline digital data-collection setup, and enumerator recruitment &amp; training (section 2.5).</w:t>
            </w:r>
          </w:p>
        </w:tc>
      </w:tr>
      <w:tr>
        <w:tc>
          <w:tcPr>
            <w:tcW w:type="dxa" w:w="2880"/>
          </w:tcPr>
          <w:p>
            <w:r>
              <w:t>Data Management &amp; Analysis</w:t>
            </w:r>
          </w:p>
        </w:tc>
        <w:tc>
          <w:tcPr>
            <w:tcW w:type="dxa" w:w="2880"/>
          </w:tcPr>
          <w:p>
            <w:r>
              <w:t>4</w:t>
            </w:r>
          </w:p>
        </w:tc>
        <w:tc>
          <w:tcPr>
            <w:tcW w:type="dxa" w:w="2880"/>
          </w:tcPr>
          <w:p>
            <w:r>
              <w:t>Data cleaning &amp; processing, quantitative statistical analysis, qualitative analysis &amp; coding, and data visualization/dashboard setup (section 2.6).</w:t>
            </w:r>
          </w:p>
        </w:tc>
      </w:tr>
      <w:tr>
        <w:tc>
          <w:tcPr>
            <w:tcW w:type="dxa" w:w="2880"/>
          </w:tcPr>
          <w:p>
            <w:r>
              <w:t>Monitoring &amp; Evaluation Services</w:t>
            </w:r>
          </w:p>
        </w:tc>
        <w:tc>
          <w:tcPr>
            <w:tcW w:type="dxa" w:w="2880"/>
          </w:tcPr>
          <w:p>
            <w:r>
              <w:t>3</w:t>
            </w:r>
          </w:p>
        </w:tc>
        <w:tc>
          <w:tcPr>
            <w:tcW w:type="dxa" w:w="2880"/>
          </w:tcPr>
          <w:p>
            <w:r>
              <w:t>M&amp;E framework design (Theory of Change &amp; logframe), indicator-tracking-system setup, and ongoing M&amp;E support (section 2.8).</w:t>
            </w:r>
          </w:p>
        </w:tc>
      </w:tr>
      <w:tr>
        <w:tc>
          <w:tcPr>
            <w:tcW w:type="dxa" w:w="2880"/>
          </w:tcPr>
          <w:p>
            <w:r>
              <w:t>Technical &amp; Policy Consultancy</w:t>
            </w:r>
          </w:p>
        </w:tc>
        <w:tc>
          <w:tcPr>
            <w:tcW w:type="dxa" w:w="2880"/>
          </w:tcPr>
          <w:p>
            <w:r>
              <w:t>4</w:t>
            </w:r>
          </w:p>
        </w:tc>
        <w:tc>
          <w:tcPr>
            <w:tcW w:type="dxa" w:w="2880"/>
          </w:tcPr>
          <w:p>
            <w:r>
              <w:t>Policy advisory &amp; briefing, institutional capacity assessment, strategic planning facilitation, and a senior-researcher day rate (sections 2.1, 2.12).</w:t>
            </w:r>
          </w:p>
        </w:tc>
      </w:tr>
      <w:tr>
        <w:tc>
          <w:tcPr>
            <w:tcW w:type="dxa" w:w="2880"/>
          </w:tcPr>
          <w:p>
            <w:r>
              <w:t>Training &amp; Capacity Building</w:t>
            </w:r>
          </w:p>
        </w:tc>
        <w:tc>
          <w:tcPr>
            <w:tcW w:type="dxa" w:w="2880"/>
          </w:tcPr>
          <w:p>
            <w:r>
              <w:t>2</w:t>
            </w:r>
          </w:p>
        </w:tc>
        <w:tc>
          <w:tcPr>
            <w:tcW w:type="dxa" w:w="2880"/>
          </w:tcPr>
          <w:p>
            <w:r>
              <w:t>Research-methods training workshop and M&amp;E capacity-building workshop (section 2.11).</w:t>
            </w:r>
          </w:p>
        </w:tc>
      </w:tr>
    </w:tbl>
    <w:p>
      <w:pPr>
        <w:pStyle w:val="BodyText"/>
      </w:pPr>
      <w:r>
        <w:t>Every service carries a unit price in UGX, quoted against the standard unit a client's statement of work would use (per study, per session, per dataset, per day), so — unlike Morise Milling Ltd's internal raw-material lines — the entire catalogue is storefront-visible. Study design, analysis, policy advisory and the day-rate line are attributed to the Kampala Head Office; fieldwork-heavy lines (household-survey enumeration, focus groups, enumerator training, a needs assessment, ongoing M&amp;E support, and the two training workshops) are spread across the Gulu, Mbale, Mbarara and Karamoja field offices to reflect where that work actually happens.</w:t>
      </w:r>
    </w:p>
    <w:p>
      <w:pPr>
        <w:pStyle w:val="BodyText"/>
      </w:pPr>
      <w:r>
        <w:t>Seed-only — reuses the existing ensureService()/ensureCategory() helpers and the Product model exactly as every prior services catalogue (Logistics, Clearing &amp; Forwarding, Warehouse Management, Collateral Management); no schema, code, endpoint or permission change. Group catalogue now 81 products across 31 categories (76 storefront-priced, 5 internal-only); all seven operating subsidiaries sell at least one product or service.</w:t>
      </w:r>
    </w:p>
    <w:p>
      <w:pPr>
        <w:pStyle w:val="Heading2"/>
      </w:pPr>
      <w:r>
        <w:t>Addendum (9 September 2026) — Dockerized Backend, Admin App and Customer Storefront</w:t>
      </w:r>
    </w:p>
    <w:p>
      <w:pPr>
        <w:pStyle w:val="BodyText"/>
      </w:pPr>
      <w:r>
        <w:t>Dockerized Backend, Admin App and Customer Storefront (9 September 2026): the MBMS backend, Admin app and Customer Storefront each gain a Dockerfile and a docker-compose.yml service (alongside the existing Postgres/Redis containers) — one command, `docker compose up -d --build`, now brings up the entire platform, including whichever subsidiary systems from this document are eventually built on it (Implementation Status Update 101).</w:t>
      </w:r>
    </w:p>
    <w:p>
      <w:pPr>
        <w:pStyle w:val="Heading2"/>
      </w:pPr>
      <w:r>
        <w:t>Addendum (9 September 2026) — Storefront Language Set Scoped to 9 Official Languages</w:t>
      </w:r>
    </w:p>
    <w:p>
      <w:pPr>
        <w:pStyle w:val="BodyText"/>
      </w:pPr>
      <w:r>
        <w:t>Storefront Language Set Scoped to 9 Official Languages (9 September 2026): see mbms/README.md — the Customer Storefront's language picker is now scoped to exactly the 9 languages an administrator named (English, Kiswahili, Luganda, Arabic, German, French, Spanish, Italian, Portuguese), grouped Uganda — Official/Global, Uganda — Official/Africa, Uganda — Bantu, Africa, Europe, The Americas. Front-end only; no change to this document's subsidiary.</w:t>
      </w:r>
    </w:p>
    <w:p>
      <w:pPr>
        <w:pStyle w:val="Heading2"/>
      </w:pPr>
      <w:r>
        <w:t>Addendum (9 September 2026) — Every Non-English Official Language Reaches 100% Key Parity</w:t>
      </w:r>
    </w:p>
    <w:p>
      <w:pPr>
        <w:pStyle w:val="BodyText"/>
      </w:pPr>
      <w:r>
        <w:t>Every Non-English Official Language Reaches 100% Key Parity (9 September 2026): see mbms/README.md — all 8 non-English official languages now carry a complete, 528/528-key translation of the Customer Storefront (up from 87.5%), closing a gap left by the group-storefront and delivery-confirmation / Morise e-Stamp features added after the original translation passes. Front-end only; no change to this document's subsidiary.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