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Requirements - a new subsidiary and a new feature specification (doc 23): a milling ERP covering procurement over a weighbridge, warehouse / silo control, production &amp; milling lines, maintenance, QA/QC, packaging, sales, distribution, finance, workforce and a management dashboard, with end-to-end batch traceability.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Requirements - implements the previously-recorded requirement (Update 66): a customer acknowledgement step after delivery, an automatic Morise e-Stamp on the invoice for 'received in good condition', and a delivery exception for anything else.</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Requirements - the delivery-acknowledgement requirement gains an access requirement: the customer must be able to reach the confirmation from a clear button / link (Home, the order list, and a dedicated /orders/:id/confirm page).</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Requirements - refined: once an administrator marks the order delivered, the storefront must show a Confirm-receipt button; the customer's click is the attestation that generates the e-Stamp; no Morise Logistics delivery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Requirements - a new functional area: a unified social media composer, per-platform account connections, a one-click fan-out publisher with per-platform status, media handling, scheduling, a status dashboard and a drafts-vs-publish permission split.</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Requirements - satisfies a requirement gap: an administrator can register a company's products against a specific branch/site from the Admin screen, and can edit a product after creation, both previously only possible by editing seed data directly.</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Requirements - adds docx/25 as a new specification document restating the client's research-and-consultancy feature set; no change to MBMS's own functional requirements until a phase of docx/25 is prioritised for build.</w:t>
      </w:r>
    </w:p>
    <w:p>
      <w:pPr>
        <w:pStyle w:val="Heading1"/>
      </w:pPr>
      <w:r>
        <w:t>114.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Requirements - no new functional requirement: the existing product-catalogue and Admin Products-screen requirements now cover an eighth catalogue.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