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Schema — one new table, social_content, a single row keyed “default”; social_links is unchanged.</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Schema — `social_links` gains a UNIQUE index on `platform` (migration `20260902160000_social_link_platform_unique`, de-duplicating existing rows first); at most one channel row per platform.</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Schema - new table staff_id_cards (one-to-one with employees, ON DELETE CASCADE) and enum StaffIdCardStatus (active / revoked / expired); unique card_number and verification_code; indexes on company_id and status; migration 20260903120000_staff_id_cards.</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Schema - staff_id_cards gains nullable blood_group VARCHAR(8) and back_notes TEXT (migration 20260903140000_staff_id_card_back); no other change.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Schema - staff_id_cards.blood_group is dropped (migration 20260903160000_staff_id_card_drop_blood_group); back_notes is kept.</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Schema - no schema change: Morise Milling Ltd is seeded through the existing Company / Branch / Department / CompanyPolicy tables (company a1...007; branches b1...0040-0045; departments d1...0060-0071; policies p1...0040-0045).</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Schema - invoices gains nullable stamped_at / stamp_number (unique) / stamp_condition; deliveries gains nullable customer_ack_condition / customer_ack_at / customer_ack_note / customer_ack_by / exception_opened_at (migration 20260903180000_invoice_estamp_delivery_ack).</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Schema - no schema change: the awaiting-confirmation list is derived from deliveries (status delivered + customer_ack_at null).</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Schema - orders gains nullable delivered_at, customer_receipt_confirmed_at, customer_receipt_condition, customer_receipt_note (migration 20260903200000_order_customer_receipt, which back-fills delivered_at for existing delivered orders).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Schema - new tables social_connections (platform PK, status, account label, token expiry, placeholder token ref), social_posts (master body, media type / url text ref, link, status, scheduledFor, publishedAt) and social_post_targets (post + platform unique, caption override, status, external id / url, error, attempts). New enums SocialPostStatus / SocialTargetStatus / SocialMediaType. Migration 20260903220000_social_publishing.</w:t>
      </w:r>
    </w:p>
    <w:p>
      <w:pPr>
        <w:pStyle w:val="Heading1"/>
      </w:pPr>
      <w:r>
        <w:t>113.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Schema - no schema change: Product.branchId already existed (29 August 2026). This update only changes which write paths may set it and what the read shape returns (companyName, branchName).</w:t>
      </w:r>
    </w:p>
    <w:p>
      <w:pPr>
        <w:pStyle w:val="Heading1"/>
      </w:pPr>
      <w:r>
        <w:t>114.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Schema - no schema change: the new subsidiary uses the existing Company / Branch / Department / CompanyPolicy tables, exactly like the six subsidiaries before it.</w:t>
      </w:r>
    </w:p>
    <w:p>
      <w:pPr>
        <w:pStyle w:val="Heading1"/>
      </w:pPr>
      <w:r>
        <w:t>115.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Schema - no schema change: uses the existing Product / ProductCategory tables exactly as every prior subsidiary's catalogue.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