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p>
      <w:pPr>
        <w:pStyle w:val="Heading1"/>
      </w:pPr>
      <w:r>
        <w:t>108.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UI/UX - the corporate site's Companies directory, subsidiary page and news feed pick up the seventh subsidiary and its own banner automatically from the existing rendering logic.</w:t>
      </w:r>
    </w:p>
    <w:p>
      <w:pPr>
        <w:pStyle w:val="Heading1"/>
      </w:pPr>
      <w:r>
        <w:t>109.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UI/UX - no UI change: the existing Products screen's subsidiary filter, columns and Edit action already handle a service-only, no-goods catalogue (as they already do for Logistics and Collateral Management).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