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p>
      <w:pPr>
        <w:pStyle w:val="Heading1"/>
      </w:pPr>
      <w:r>
        <w:t>Implementation Status Note 76 (9 September 2026) — Morise Research &amp; Consultancy Ltd — Seventh Subsidiary + RC-MIS Specification (New Doc 25)</w:t>
      </w:r>
    </w:p>
    <w:p>
      <w:pPr/>
      <w:r>
        <w:t>An administrator asked to add a subsidiary for research and other types of consultancy, based on docx/Research_and_Consultancy_Software_Development_Features.docx. Morise Research &amp; Consultancy Ltd is seeded as the seventh wholly-owned (100%) subsidiary (company a1...008), registered in Kololo, Kampala, created and managed by the Managing Director under the existing subsidiary-lifecycle capability, the same way as every prior subsidiary.</w:t>
      </w:r>
    </w:p>
    <w:p>
      <w:pPr/>
      <w:r>
        <w:t>Five sites/branches (Kampala Head Office plus regional field offices in Gulu, Mbale, Mbarara, and a Karamoja field station); twelve departments condensing the client's fourteen-node RC-MIS architecture; six starter policies covering research ethics, data protection, fieldwork safety, data quality, conflict-of-interest and contract/grant compliance. seed.ts only, no code, schema or permission change; not a storefront seller (0 products).</w:t>
      </w:r>
    </w:p>
    <w:p>
      <w:pPr/>
      <w:r>
        <w:t>The RC-MIS (fourteen modules) is a specification, not built: new docx/25 restates the client attachment in house format — feature modules, non-functional requirements, architecture, integration points, user roles, technology stack, the organisation as built, a five-phase roadmap, and its relationship to the existing MBMS platform. corporate.js gains a SUBSIDIARY_META / SUBSIDIARY_BANNER / News entry; a new indigo-accent brand/banners/subsidiary-research-consultancy.svg is mirrored into both apps. Verified end to end — company, 5 branches, 12 departments and 6 policies confirmed in Postgres and via the Admin organisation API; the public overview endpoint and both banner assets confirmed live. No new endpoint, migration or permission; openapi.json unchanged.</w:t>
      </w:r>
    </w:p>
    <w:p>
      <w:pPr/>
      <w:r>
        <w:t>Backend: prisma/seed.ts (Morise Research &amp; Consultancy Ltd company, branches, departments, policies).</w:t>
      </w:r>
    </w:p>
    <w:p>
      <w:pPr/>
      <w:r>
        <w:t>Frontend: mbms/storefront/src/lib/corporate.js (SUBSIDIARY_META / SUBSIDIARY_BANNER / NEWS entries), brand/banners/subsidiary-research-consultancy.svg (new, mirrored into mbms/frontend/public/brand/banners/ and mbms/storefront/public/brand/banners/), brand/README.md (banner table row).</w:t>
      </w:r>
    </w:p>
    <w:p>
      <w:pPr>
        <w:pStyle w:val="Heading1"/>
      </w:pPr>
      <w:r>
        <w:t>Implementation Status Note 77 (9 September 2026) — Services Catalogue for Morise Research &amp; Consultancy Ltd (Doc 25)</w:t>
      </w:r>
    </w:p>
    <w:p>
      <w:pPr/>
      <w:r>
        <w:t>An administrator asked to add products to Morise Research &amp; Consultancy Ltd, the seventh subsidiary (seeded Update 99 with zero products, on the reasoning that a consultancy is billed on contracts and timesheets). Following the precedent of Morise Collateral Management Ltd (also contract-billed, priced services catalogue since Update 60), prisma/seed.ts gains 23 services (RC-7001-7051) across 6 categories: Research &amp; Evaluation Studies, Field Data Collection, Data Management &amp; Analysis, Monitoring &amp; Evaluation Services, Technical &amp; Policy Consultancy, and Training &amp; Capacity Building.</w:t>
      </w:r>
    </w:p>
    <w:p>
      <w:pPr/>
      <w:r>
        <w:t>Every line is productType 'service' with a unitPrice (UGX, per study/session/dataset/day), so the whole catalogue is storefront-visible. Kampala Head Office holds study design, analysis, policy advisory and the day-rate line; fieldwork-heavy lines are spread across the Gulu, Mbale, Mbarara and Karamoja field offices. Seed-only, reusing the existing ensureService()/ensureCategory() helpers — no schema, code, endpoint or permission change.</w:t>
      </w:r>
    </w:p>
    <w:p>
      <w:pPr/>
      <w:r>
        <w:t>Verified end to end — 23 rows confirmed in Postgres with correct branch/category attribution; the Admin Products screen filtered to the subsidiary screenshot-verified with no console errors; nest build clean; openapi.json regenerated byte-identical (378 paths / 481 operations / 188 schemas). Group catalogue now 81 products / 31 categories (76 storefront-priced, 5 internal-only); all seven subsidiaries sell at least one item.</w:t>
      </w:r>
    </w:p>
    <w:p>
      <w:pPr/>
      <w:r>
        <w:t>Backend: prisma/seed.ts (Morise Research &amp; Consultancy Ltd services catalogue).</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