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Morise Holdings Limited</w:t>
      </w:r>
    </w:p>
    <w:p>
      <w:pPr>
        <w:pStyle w:val="BodyText"/>
        <w:bidi w:val="0"/>
        <w:spacing w:before="30" w:after="283"/>
        <w:ind w:hanging="0" w:left="0" w:right="0"/>
        <w:jc w:val="left"/>
        <w:rPr>
          <w:color w:val="444444"/>
          <w:sz w:val="24"/>
        </w:rPr>
      </w:pPr>
      <w:r>
        <w:rPr>
          <w:color w:val="444444"/>
          <w:sz w:val="24"/>
        </w:rPr>
        <w:t>Deployment Plan</w:t>
      </w:r>
    </w:p>
    <w:p>
      <w:pPr>
        <w:pStyle w:val="BodyText"/>
        <w:bidi w:val="0"/>
        <w:spacing w:before="30" w:after="283"/>
        <w:ind w:hanging="0" w:left="0" w:right="0"/>
        <w:jc w:val="left"/>
        <w:rPr>
          <w:color w:val="444444"/>
          <w:sz w:val="24"/>
        </w:rPr>
      </w:pPr>
      <w:r>
        <w:rPr>
          <w:color w:val="444444"/>
          <w:sz w:val="24"/>
        </w:rPr>
        <w:t>Morise Holdings Limited Business Management System (MBMS) — Phase 1 (Core / MVP)</w:t>
      </w:r>
    </w:p>
    <w:tbl>
      <w:tblPr>
        <w:tblW w:w="9625" w:type="dxa"/>
        <w:jc w:val="left"/>
        <w:tblInd w:w="28" w:type="dxa"/>
        <w:tblLayout w:type="fixed"/>
        <w:tblCellMar>
          <w:top w:w="28" w:type="dxa"/>
          <w:left w:w="28" w:type="dxa"/>
          <w:bottom w:w="28" w:type="dxa"/>
          <w:right w:w="28" w:type="dxa"/>
        </w:tblCellMar>
      </w:tblPr>
      <w:tblGrid>
        <w:gridCol w:w="2058"/>
        <w:gridCol w:w="7567"/>
      </w:tblGrid>
      <w:tr>
        <w:trPr/>
        <w:tc>
          <w:tcPr>
            <w:tcW w:w="2058" w:type="dxa"/>
            <w:tcBorders/>
            <w:vAlign w:val="center"/>
          </w:tcPr>
          <w:p>
            <w:pPr>
              <w:pStyle w:val="TableContents"/>
              <w:bidi w:val="0"/>
              <w:spacing w:before="0" w:after="283"/>
              <w:jc w:val="left"/>
              <w:rPr>
                <w:b/>
              </w:rPr>
            </w:pPr>
            <w:r>
              <w:rPr>
                <w:b/>
              </w:rPr>
              <w:t>Document Type:</w:t>
            </w:r>
          </w:p>
        </w:tc>
        <w:tc>
          <w:tcPr>
            <w:tcW w:w="7567" w:type="dxa"/>
            <w:tcBorders/>
            <w:vAlign w:val="center"/>
          </w:tcPr>
          <w:p>
            <w:pPr>
              <w:pStyle w:val="TableContents"/>
              <w:bidi w:val="0"/>
              <w:spacing w:before="0" w:after="283"/>
              <w:jc w:val="left"/>
              <w:rPr/>
            </w:pPr>
            <w:r>
              <w:rPr/>
              <w:t>Deployment Plan</w:t>
            </w:r>
          </w:p>
        </w:tc>
      </w:tr>
      <w:tr>
        <w:trPr/>
        <w:tc>
          <w:tcPr>
            <w:tcW w:w="2058" w:type="dxa"/>
            <w:tcBorders/>
            <w:vAlign w:val="center"/>
          </w:tcPr>
          <w:p>
            <w:pPr>
              <w:pStyle w:val="TableContents"/>
              <w:bidi w:val="0"/>
              <w:spacing w:before="0" w:after="283"/>
              <w:jc w:val="left"/>
              <w:rPr>
                <w:b/>
              </w:rPr>
            </w:pPr>
            <w:r>
              <w:rPr>
                <w:b/>
              </w:rPr>
              <w:t>Purpose:</w:t>
            </w:r>
          </w:p>
        </w:tc>
        <w:tc>
          <w:tcPr>
            <w:tcW w:w="7567" w:type="dxa"/>
            <w:tcBorders/>
            <w:vAlign w:val="center"/>
          </w:tcPr>
          <w:p>
            <w:pPr>
              <w:pStyle w:val="TableContents"/>
              <w:bidi w:val="0"/>
              <w:spacing w:before="0" w:after="283"/>
              <w:jc w:val="left"/>
              <w:rPr/>
            </w:pPr>
            <w:r>
              <w:rPr/>
              <w:t>Defines production release — steps, rollback procedures, environment configs</w:t>
            </w:r>
          </w:p>
        </w:tc>
      </w:tr>
      <w:tr>
        <w:trPr/>
        <w:tc>
          <w:tcPr>
            <w:tcW w:w="2058" w:type="dxa"/>
            <w:tcBorders/>
            <w:vAlign w:val="center"/>
          </w:tcPr>
          <w:p>
            <w:pPr>
              <w:pStyle w:val="TableContents"/>
              <w:bidi w:val="0"/>
              <w:spacing w:before="0" w:after="283"/>
              <w:jc w:val="left"/>
              <w:rPr>
                <w:b/>
              </w:rPr>
            </w:pPr>
            <w:r>
              <w:rPr>
                <w:b/>
              </w:rPr>
              <w:t>Version:</w:t>
            </w:r>
          </w:p>
        </w:tc>
        <w:tc>
          <w:tcPr>
            <w:tcW w:w="7567" w:type="dxa"/>
            <w:tcBorders/>
            <w:vAlign w:val="center"/>
          </w:tcPr>
          <w:p>
            <w:pPr>
              <w:pStyle w:val="TableContents"/>
              <w:bidi w:val="0"/>
              <w:spacing w:before="0" w:after="283"/>
              <w:jc w:val="left"/>
              <w:rPr/>
            </w:pPr>
            <w:r>
              <w:rPr/>
              <w:t>1.0 (Draft)</w:t>
            </w:r>
          </w:p>
        </w:tc>
      </w:tr>
      <w:tr>
        <w:trPr/>
        <w:tc>
          <w:tcPr>
            <w:tcW w:w="2058" w:type="dxa"/>
            <w:tcBorders/>
            <w:vAlign w:val="center"/>
          </w:tcPr>
          <w:p>
            <w:pPr>
              <w:pStyle w:val="TableContents"/>
              <w:bidi w:val="0"/>
              <w:spacing w:before="0" w:after="283"/>
              <w:jc w:val="left"/>
              <w:rPr>
                <w:b/>
              </w:rPr>
            </w:pPr>
            <w:r>
              <w:rPr>
                <w:b/>
              </w:rPr>
              <w:t>Date:</w:t>
            </w:r>
          </w:p>
        </w:tc>
        <w:tc>
          <w:tcPr>
            <w:tcW w:w="7567" w:type="dxa"/>
            <w:tcBorders/>
            <w:vAlign w:val="center"/>
          </w:tcPr>
          <w:p>
            <w:pPr>
              <w:pStyle w:val="TableContents"/>
              <w:bidi w:val="0"/>
              <w:spacing w:before="0" w:after="283"/>
              <w:jc w:val="left"/>
              <w:rPr/>
            </w:pPr>
            <w:r>
              <w:rPr/>
              <w:t>18 August 2026</w:t>
            </w:r>
          </w:p>
        </w:tc>
      </w:tr>
      <w:tr>
        <w:trPr/>
        <w:tc>
          <w:tcPr>
            <w:tcW w:w="2058" w:type="dxa"/>
            <w:tcBorders/>
            <w:vAlign w:val="center"/>
          </w:tcPr>
          <w:p>
            <w:pPr>
              <w:pStyle w:val="TableContents"/>
              <w:bidi w:val="0"/>
              <w:spacing w:before="0" w:after="283"/>
              <w:jc w:val="left"/>
              <w:rPr>
                <w:b/>
              </w:rPr>
            </w:pPr>
            <w:r>
              <w:rPr>
                <w:b/>
              </w:rPr>
              <w:t>Prepared by:</w:t>
            </w:r>
          </w:p>
        </w:tc>
        <w:tc>
          <w:tcPr>
            <w:tcW w:w="7567" w:type="dxa"/>
            <w:tcBorders/>
            <w:vAlign w:val="center"/>
          </w:tcPr>
          <w:p>
            <w:pPr>
              <w:pStyle w:val="TableContents"/>
              <w:bidi w:val="0"/>
              <w:spacing w:before="0" w:after="283"/>
              <w:jc w:val="left"/>
              <w:rPr/>
            </w:pPr>
            <w:r>
              <w:rPr/>
              <w:t>Obeke Godfrey, Director</w:t>
            </w:r>
          </w:p>
        </w:tc>
      </w:tr>
      <w:tr>
        <w:trPr/>
        <w:tc>
          <w:tcPr>
            <w:tcW w:w="2058" w:type="dxa"/>
            <w:tcBorders/>
            <w:vAlign w:val="center"/>
          </w:tcPr>
          <w:p>
            <w:pPr>
              <w:pStyle w:val="TableContents"/>
              <w:bidi w:val="0"/>
              <w:spacing w:before="0" w:after="283"/>
              <w:jc w:val="left"/>
              <w:rPr>
                <w:b/>
              </w:rPr>
            </w:pPr>
            <w:r>
              <w:rPr>
                <w:b/>
              </w:rPr>
              <w:t>Prepared for:</w:t>
            </w:r>
          </w:p>
        </w:tc>
        <w:tc>
          <w:tcPr>
            <w:tcW w:w="7567" w:type="dxa"/>
            <w:tcBorders/>
            <w:vAlign w:val="center"/>
          </w:tcPr>
          <w:p>
            <w:pPr>
              <w:pStyle w:val="TableContents"/>
              <w:bidi w:val="0"/>
              <w:spacing w:before="0" w:after="283"/>
              <w:jc w:val="left"/>
              <w:rPr/>
            </w:pPr>
            <w:r>
              <w:rPr/>
              <w:t>Development Team / Technology Partner, Morise Holdings Limited</w:t>
            </w:r>
          </w:p>
        </w:tc>
      </w:tr>
      <w:tr>
        <w:trPr/>
        <w:tc>
          <w:tcPr>
            <w:tcW w:w="2058" w:type="dxa"/>
            <w:tcBorders/>
            <w:vAlign w:val="center"/>
          </w:tcPr>
          <w:p>
            <w:pPr>
              <w:pStyle w:val="TableContents"/>
              <w:bidi w:val="0"/>
              <w:spacing w:before="0" w:after="283"/>
              <w:jc w:val="left"/>
              <w:rPr>
                <w:b/>
              </w:rPr>
            </w:pPr>
            <w:r>
              <w:rPr>
                <w:b/>
              </w:rPr>
              <w:t>Related documents:</w:t>
            </w:r>
          </w:p>
        </w:tc>
        <w:tc>
          <w:tcPr>
            <w:tcW w:w="7567" w:type="dxa"/>
            <w:tcBorders/>
            <w:vAlign w:val="center"/>
          </w:tcPr>
          <w:p>
            <w:pPr>
              <w:pStyle w:val="TableContents"/>
              <w:bidi w:val="0"/>
              <w:spacing w:before="0" w:after="283"/>
              <w:jc w:val="left"/>
              <w:rPr/>
            </w:pPr>
            <w:r>
              <w:rPr/>
              <w:t>07_System Design Document (v2.0); 08_Database Design Document; 10_Test Plan</w:t>
            </w:r>
          </w:p>
        </w:tc>
      </w:tr>
    </w:tbl>
    <w:p>
      <w:pPr>
        <w:pStyle w:val="Heading2"/>
        <w:bidi w:val="0"/>
        <w:jc w:val="left"/>
        <w:rPr/>
      </w:pPr>
      <w:r>
        <w:rPr/>
        <w:t>1. Purpose and Scope</w:t>
      </w:r>
    </w:p>
    <w:p>
      <w:pPr>
        <w:pStyle w:val="BodyText"/>
        <w:bidi w:val="0"/>
        <w:jc w:val="left"/>
        <w:rPr/>
      </w:pPr>
      <w:r>
        <w:rPr/>
        <w:t xml:space="preserve">This document defines two things: (a) the </w:t>
      </w:r>
      <w:r>
        <w:rPr>
          <w:b/>
        </w:rPr>
        <w:t>standing deployment process</w:t>
      </w:r>
      <w:r>
        <w:rPr/>
        <w:t xml:space="preserve"> used for every release of any MBMS service, and (b) the </w:t>
      </w:r>
      <w:r>
        <w:rPr>
          <w:b/>
        </w:rPr>
        <w:t>specific Phase 1 go-live sequence</w:t>
      </w:r>
      <w:r>
        <w:rPr/>
        <w:t xml:space="preserve"> — the one-time, higher-stakes rollout that takes the system from staging to the Group's first production users. It covers the eight microservices and API Gateway defined in 07_System Design Document (v2.0).</w:t>
      </w:r>
    </w:p>
    <w:p>
      <w:pPr>
        <w:pStyle w:val="Heading2"/>
        <w:bidi w:val="0"/>
        <w:jc w:val="left"/>
        <w:rPr/>
      </w:pPr>
      <w:r>
        <w:rPr/>
        <w:t>2. Deployment Readiness Gate</w:t>
      </w:r>
    </w:p>
    <w:p>
      <w:pPr>
        <w:pStyle w:val="BodyText"/>
        <w:bidi w:val="0"/>
        <w:spacing w:before="150" w:after="150"/>
        <w:ind w:hanging="0" w:left="150" w:right="150"/>
        <w:jc w:val="left"/>
        <w:rPr>
          <w:sz w:val="21"/>
          <w:bdr w:val="single" w:sz="24" w:space="9" w:color="1F3864"/>
          <w:shd w:fill="EAF1FB" w:val="clear"/>
        </w:rPr>
      </w:pPr>
      <w:r>
        <w:rPr>
          <w:sz w:val="21"/>
          <w:bdr w:val="single" w:sz="24" w:space="9" w:color="1F3864"/>
          <w:shd w:fill="EAF1FB" w:val="clear"/>
        </w:rPr>
        <w:t>Per 10_Test Plan, Section 10, production deployment does not begin until: all Section 8 test cases pass; no open Critical/High defects remain; security testing is complete with no open Critical/High findings; UAT sign-off is obtained from every process owner; and backup/restoration has been verified. In addition, per 03_Feasibility Study, Section 4.4, the Board should have resolved the Secretary/alternate-signatory position before this stage, since production infrastructure spend (Section 4 below) is exactly the kind of financial commitment that condition was raised against.</w:t>
      </w:r>
    </w:p>
    <w:p>
      <w:pPr>
        <w:pStyle w:val="Heading2"/>
        <w:bidi w:val="0"/>
        <w:jc w:val="left"/>
        <w:rPr/>
      </w:pPr>
      <w:r>
        <w:rPr/>
        <w:t>3. Environments and Infrastructure</w:t>
      </w:r>
    </w:p>
    <w:p>
      <w:pPr>
        <w:pStyle w:val="BodyText"/>
        <w:bidi w:val="0"/>
        <w:jc w:val="left"/>
        <w:rPr/>
      </w:pPr>
      <w:r>
        <w:rPr/>
        <w:t>Per 07_System Design Document, Sections 11–12:</w:t>
      </w:r>
    </w:p>
    <w:tbl>
      <w:tblPr>
        <w:tblW w:w="11339" w:type="dxa"/>
        <w:jc w:val="left"/>
        <w:tblInd w:w="28" w:type="dxa"/>
        <w:tblLayout w:type="fixed"/>
        <w:tblCellMar>
          <w:top w:w="28" w:type="dxa"/>
          <w:left w:w="28" w:type="dxa"/>
          <w:bottom w:w="28" w:type="dxa"/>
          <w:right w:w="28" w:type="dxa"/>
        </w:tblCellMar>
      </w:tblPr>
      <w:tblGrid>
        <w:gridCol w:w="1476"/>
        <w:gridCol w:w="6533"/>
        <w:gridCol w:w="3330"/>
      </w:tblGrid>
      <w:tr>
        <w:trPr/>
        <w:tc>
          <w:tcPr>
            <w:tcW w:w="1476" w:type="dxa"/>
            <w:tcBorders/>
            <w:vAlign w:val="center"/>
          </w:tcPr>
          <w:p>
            <w:pPr>
              <w:pStyle w:val="TableHeading"/>
              <w:suppressLineNumbers/>
              <w:shd w:fill="1F3864" w:val="clear"/>
              <w:bidi w:val="0"/>
              <w:spacing w:before="0" w:after="283"/>
              <w:jc w:val="left"/>
              <w:rPr/>
            </w:pPr>
            <w:r>
              <w:rPr/>
              <w:t>Component</w:t>
            </w:r>
          </w:p>
        </w:tc>
        <w:tc>
          <w:tcPr>
            <w:tcW w:w="6533" w:type="dxa"/>
            <w:tcBorders/>
            <w:vAlign w:val="center"/>
          </w:tcPr>
          <w:p>
            <w:pPr>
              <w:pStyle w:val="TableHeading"/>
              <w:suppressLineNumbers/>
              <w:shd w:fill="1F3864" w:val="clear"/>
              <w:bidi w:val="0"/>
              <w:spacing w:before="0" w:after="283"/>
              <w:jc w:val="left"/>
              <w:rPr/>
            </w:pPr>
            <w:r>
              <w:rPr/>
              <w:t>Provisioning Detail</w:t>
            </w:r>
          </w:p>
        </w:tc>
        <w:tc>
          <w:tcPr>
            <w:tcW w:w="3330" w:type="dxa"/>
            <w:tcBorders/>
            <w:vAlign w:val="center"/>
          </w:tcPr>
          <w:p>
            <w:pPr>
              <w:pStyle w:val="TableHeading"/>
              <w:suppressLineNumbers/>
              <w:shd w:fill="1F3864" w:val="clear"/>
              <w:bidi w:val="0"/>
              <w:spacing w:before="0" w:after="283"/>
              <w:jc w:val="left"/>
              <w:rPr/>
            </w:pPr>
            <w:r>
              <w:rPr/>
              <w:t>Status</w:t>
            </w:r>
          </w:p>
        </w:tc>
      </w:tr>
      <w:tr>
        <w:trPr/>
        <w:tc>
          <w:tcPr>
            <w:tcW w:w="1476" w:type="dxa"/>
            <w:tcBorders/>
            <w:vAlign w:val="center"/>
          </w:tcPr>
          <w:p>
            <w:pPr>
              <w:pStyle w:val="TableContents"/>
              <w:bidi w:val="0"/>
              <w:spacing w:before="0" w:after="283"/>
              <w:jc w:val="left"/>
              <w:rPr/>
            </w:pPr>
            <w:r>
              <w:rPr/>
              <w:t>Compute</w:t>
            </w:r>
          </w:p>
        </w:tc>
        <w:tc>
          <w:tcPr>
            <w:tcW w:w="6533" w:type="dxa"/>
            <w:tcBorders/>
            <w:vAlign w:val="center"/>
          </w:tcPr>
          <w:p>
            <w:pPr>
              <w:pStyle w:val="TableContents"/>
              <w:bidi w:val="0"/>
              <w:spacing w:before="0" w:after="283"/>
              <w:jc w:val="left"/>
              <w:rPr/>
            </w:pPr>
            <w:r>
              <w:rPr/>
              <w:t>One AWS ECS (Fargate) service per microservice, one per environment (dev/staging/production)</w:t>
            </w:r>
          </w:p>
        </w:tc>
        <w:tc>
          <w:tcPr>
            <w:tcW w:w="3330" w:type="dxa"/>
            <w:tcBorders/>
            <w:vAlign w:val="center"/>
          </w:tcPr>
          <w:p>
            <w:pPr>
              <w:pStyle w:val="TableContents"/>
              <w:bidi w:val="0"/>
              <w:spacing w:before="0" w:after="283"/>
              <w:jc w:val="left"/>
              <w:rPr/>
            </w:pPr>
            <w:r>
              <w:rPr/>
              <w:t>To be provisioned by the engaged development team/technology partner</w:t>
            </w:r>
          </w:p>
        </w:tc>
      </w:tr>
      <w:tr>
        <w:trPr/>
        <w:tc>
          <w:tcPr>
            <w:tcW w:w="1476" w:type="dxa"/>
            <w:tcBorders/>
            <w:vAlign w:val="center"/>
          </w:tcPr>
          <w:p>
            <w:pPr>
              <w:pStyle w:val="TableContents"/>
              <w:bidi w:val="0"/>
              <w:spacing w:before="0" w:after="283"/>
              <w:jc w:val="left"/>
              <w:rPr/>
            </w:pPr>
            <w:r>
              <w:rPr/>
              <w:t>Database</w:t>
            </w:r>
          </w:p>
        </w:tc>
        <w:tc>
          <w:tcPr>
            <w:tcW w:w="6533" w:type="dxa"/>
            <w:tcBorders/>
            <w:vAlign w:val="center"/>
          </w:tcPr>
          <w:p>
            <w:pPr>
              <w:pStyle w:val="TableContents"/>
              <w:bidi w:val="0"/>
              <w:spacing w:before="0" w:after="283"/>
              <w:jc w:val="left"/>
              <w:rPr/>
            </w:pPr>
            <w:r>
              <w:rPr/>
              <w:t>Managed AWS RDS PostgreSQL, per service (or per-service schema on a shared cluster for Phase 1 cost control — final choice pending vendor quotations, per 01_Project Proposal Section 9.3)</w:t>
            </w:r>
          </w:p>
        </w:tc>
        <w:tc>
          <w:tcPr>
            <w:tcW w:w="3330" w:type="dxa"/>
            <w:tcBorders/>
            <w:vAlign w:val="center"/>
          </w:tcPr>
          <w:p>
            <w:pPr>
              <w:pStyle w:val="TableContents"/>
              <w:bidi w:val="0"/>
              <w:spacing w:before="0" w:after="283"/>
              <w:jc w:val="left"/>
              <w:rPr/>
            </w:pPr>
            <w:r>
              <w:rPr/>
              <w:t>Decision pending quotations</w:t>
            </w:r>
          </w:p>
        </w:tc>
      </w:tr>
      <w:tr>
        <w:trPr/>
        <w:tc>
          <w:tcPr>
            <w:tcW w:w="1476" w:type="dxa"/>
            <w:tcBorders/>
            <w:vAlign w:val="center"/>
          </w:tcPr>
          <w:p>
            <w:pPr>
              <w:pStyle w:val="TableContents"/>
              <w:bidi w:val="0"/>
              <w:spacing w:before="0" w:after="283"/>
              <w:jc w:val="left"/>
              <w:rPr/>
            </w:pPr>
            <w:r>
              <w:rPr/>
              <w:t>Event bus</w:t>
            </w:r>
          </w:p>
        </w:tc>
        <w:tc>
          <w:tcPr>
            <w:tcW w:w="6533" w:type="dxa"/>
            <w:tcBorders/>
            <w:vAlign w:val="center"/>
          </w:tcPr>
          <w:p>
            <w:pPr>
              <w:pStyle w:val="TableContents"/>
              <w:bidi w:val="0"/>
              <w:spacing w:before="0" w:after="283"/>
              <w:jc w:val="left"/>
              <w:rPr/>
            </w:pPr>
            <w:r>
              <w:rPr/>
              <w:t>Managed Kafka (e.g. AWS MSK) or self-hosted on ECS</w:t>
            </w:r>
          </w:p>
        </w:tc>
        <w:tc>
          <w:tcPr>
            <w:tcW w:w="3330" w:type="dxa"/>
            <w:tcBorders/>
            <w:vAlign w:val="center"/>
          </w:tcPr>
          <w:p>
            <w:pPr>
              <w:pStyle w:val="TableContents"/>
              <w:bidi w:val="0"/>
              <w:spacing w:before="0" w:after="283"/>
              <w:jc w:val="left"/>
              <w:rPr/>
            </w:pPr>
            <w:r>
              <w:rPr/>
              <w:t>Decision pending quotations</w:t>
            </w:r>
          </w:p>
        </w:tc>
      </w:tr>
      <w:tr>
        <w:trPr/>
        <w:tc>
          <w:tcPr>
            <w:tcW w:w="1476" w:type="dxa"/>
            <w:tcBorders/>
            <w:vAlign w:val="center"/>
          </w:tcPr>
          <w:p>
            <w:pPr>
              <w:pStyle w:val="TableContents"/>
              <w:bidi w:val="0"/>
              <w:spacing w:before="0" w:after="283"/>
              <w:jc w:val="left"/>
              <w:rPr/>
            </w:pPr>
            <w:r>
              <w:rPr/>
              <w:t>Cache/session</w:t>
            </w:r>
          </w:p>
        </w:tc>
        <w:tc>
          <w:tcPr>
            <w:tcW w:w="6533" w:type="dxa"/>
            <w:tcBorders/>
            <w:vAlign w:val="center"/>
          </w:tcPr>
          <w:p>
            <w:pPr>
              <w:pStyle w:val="TableContents"/>
              <w:bidi w:val="0"/>
              <w:spacing w:before="0" w:after="283"/>
              <w:jc w:val="left"/>
              <w:rPr/>
            </w:pPr>
            <w:r>
              <w:rPr/>
              <w:t>Managed Redis (e.g. AWS ElastiCache)</w:t>
            </w:r>
          </w:p>
        </w:tc>
        <w:tc>
          <w:tcPr>
            <w:tcW w:w="3330" w:type="dxa"/>
            <w:tcBorders/>
            <w:vAlign w:val="center"/>
          </w:tcPr>
          <w:p>
            <w:pPr>
              <w:pStyle w:val="TableContents"/>
              <w:bidi w:val="0"/>
              <w:spacing w:before="0" w:after="283"/>
              <w:jc w:val="left"/>
              <w:rPr/>
            </w:pPr>
            <w:r>
              <w:rPr/>
              <w:t>To be provisioned</w:t>
            </w:r>
          </w:p>
        </w:tc>
      </w:tr>
      <w:tr>
        <w:trPr/>
        <w:tc>
          <w:tcPr>
            <w:tcW w:w="1476" w:type="dxa"/>
            <w:tcBorders/>
            <w:vAlign w:val="center"/>
          </w:tcPr>
          <w:p>
            <w:pPr>
              <w:pStyle w:val="TableContents"/>
              <w:bidi w:val="0"/>
              <w:spacing w:before="0" w:after="283"/>
              <w:jc w:val="left"/>
              <w:rPr/>
            </w:pPr>
            <w:r>
              <w:rPr/>
              <w:t>API Gateway</w:t>
            </w:r>
          </w:p>
        </w:tc>
        <w:tc>
          <w:tcPr>
            <w:tcW w:w="6533" w:type="dxa"/>
            <w:tcBorders/>
            <w:vAlign w:val="center"/>
          </w:tcPr>
          <w:p>
            <w:pPr>
              <w:pStyle w:val="TableContents"/>
              <w:bidi w:val="0"/>
              <w:spacing w:before="0" w:after="283"/>
              <w:jc w:val="left"/>
              <w:rPr/>
            </w:pPr>
            <w:r>
              <w:rPr/>
              <w:t>Dedicated Gateway service or managed AWS API Gateway</w:t>
            </w:r>
          </w:p>
        </w:tc>
        <w:tc>
          <w:tcPr>
            <w:tcW w:w="3330" w:type="dxa"/>
            <w:tcBorders/>
            <w:vAlign w:val="center"/>
          </w:tcPr>
          <w:p>
            <w:pPr>
              <w:pStyle w:val="TableContents"/>
              <w:bidi w:val="0"/>
              <w:spacing w:before="0" w:after="283"/>
              <w:jc w:val="left"/>
              <w:rPr/>
            </w:pPr>
            <w:r>
              <w:rPr/>
              <w:t>To be confirmed in implementation</w:t>
            </w:r>
          </w:p>
        </w:tc>
      </w:tr>
      <w:tr>
        <w:trPr/>
        <w:tc>
          <w:tcPr>
            <w:tcW w:w="1476" w:type="dxa"/>
            <w:tcBorders/>
            <w:vAlign w:val="center"/>
          </w:tcPr>
          <w:p>
            <w:pPr>
              <w:pStyle w:val="TableContents"/>
              <w:bidi w:val="0"/>
              <w:spacing w:before="0" w:after="283"/>
              <w:jc w:val="left"/>
              <w:rPr/>
            </w:pPr>
            <w:r>
              <w:rPr/>
              <w:t>Domain and DNS</w:t>
            </w:r>
          </w:p>
        </w:tc>
        <w:tc>
          <w:tcPr>
            <w:tcW w:w="6533" w:type="dxa"/>
            <w:tcBorders/>
            <w:vAlign w:val="center"/>
          </w:tcPr>
          <w:p>
            <w:pPr>
              <w:pStyle w:val="TableContents"/>
              <w:bidi w:val="0"/>
              <w:spacing w:before="0" w:after="283"/>
              <w:jc w:val="left"/>
              <w:rPr/>
            </w:pPr>
            <w:r>
              <w:rPr/>
              <w:t>Production domain not yet registered/confirmed by the Group</w:t>
            </w:r>
          </w:p>
        </w:tc>
        <w:tc>
          <w:tcPr>
            <w:tcW w:w="3330" w:type="dxa"/>
            <w:tcBorders/>
            <w:vAlign w:val="center"/>
          </w:tcPr>
          <w:p>
            <w:pPr>
              <w:pStyle w:val="TableContents"/>
              <w:bidi w:val="0"/>
              <w:spacing w:before="0" w:after="283"/>
              <w:jc w:val="left"/>
              <w:rPr>
                <w:b/>
              </w:rPr>
            </w:pPr>
            <w:r>
              <w:rPr>
                <w:b/>
              </w:rPr>
              <w:t>Open item — Board/IT Administrator to confirm before Section 8 cutover</w:t>
            </w:r>
          </w:p>
        </w:tc>
      </w:tr>
      <w:tr>
        <w:trPr/>
        <w:tc>
          <w:tcPr>
            <w:tcW w:w="1476" w:type="dxa"/>
            <w:tcBorders/>
            <w:vAlign w:val="center"/>
          </w:tcPr>
          <w:p>
            <w:pPr>
              <w:pStyle w:val="TableContents"/>
              <w:bidi w:val="0"/>
              <w:spacing w:before="0" w:after="283"/>
              <w:jc w:val="left"/>
              <w:rPr/>
            </w:pPr>
            <w:r>
              <w:rPr/>
              <w:t>TLS/SSL</w:t>
            </w:r>
          </w:p>
        </w:tc>
        <w:tc>
          <w:tcPr>
            <w:tcW w:w="6533" w:type="dxa"/>
            <w:tcBorders/>
            <w:vAlign w:val="center"/>
          </w:tcPr>
          <w:p>
            <w:pPr>
              <w:pStyle w:val="TableContents"/>
              <w:bidi w:val="0"/>
              <w:spacing w:before="0" w:after="283"/>
              <w:jc w:val="left"/>
              <w:rPr/>
            </w:pPr>
            <w:r>
              <w:rPr/>
              <w:t>Certbot-managed certificates at the API Gateway/edge</w:t>
            </w:r>
          </w:p>
        </w:tc>
        <w:tc>
          <w:tcPr>
            <w:tcW w:w="3330" w:type="dxa"/>
            <w:tcBorders/>
            <w:vAlign w:val="center"/>
          </w:tcPr>
          <w:p>
            <w:pPr>
              <w:pStyle w:val="TableContents"/>
              <w:bidi w:val="0"/>
              <w:spacing w:before="0" w:after="283"/>
              <w:jc w:val="left"/>
              <w:rPr/>
            </w:pPr>
            <w:r>
              <w:rPr/>
              <w:t>Automated once domain is confirmed</w:t>
            </w:r>
          </w:p>
        </w:tc>
      </w:tr>
      <w:tr>
        <w:trPr/>
        <w:tc>
          <w:tcPr>
            <w:tcW w:w="1476" w:type="dxa"/>
            <w:tcBorders/>
            <w:vAlign w:val="center"/>
          </w:tcPr>
          <w:p>
            <w:pPr>
              <w:pStyle w:val="TableContents"/>
              <w:bidi w:val="0"/>
              <w:spacing w:before="0" w:after="283"/>
              <w:jc w:val="left"/>
              <w:rPr/>
            </w:pPr>
            <w:r>
              <w:rPr/>
              <w:t>File/object storage</w:t>
            </w:r>
          </w:p>
        </w:tc>
        <w:tc>
          <w:tcPr>
            <w:tcW w:w="6533" w:type="dxa"/>
            <w:tcBorders/>
            <w:vAlign w:val="center"/>
          </w:tcPr>
          <w:p>
            <w:pPr>
              <w:pStyle w:val="TableContents"/>
              <w:bidi w:val="0"/>
              <w:spacing w:before="0" w:after="283"/>
              <w:jc w:val="left"/>
              <w:rPr/>
            </w:pPr>
            <w:r>
              <w:rPr/>
              <w:t>S3-compatible storage for uploaded documents (employee, supplier files)</w:t>
            </w:r>
          </w:p>
        </w:tc>
        <w:tc>
          <w:tcPr>
            <w:tcW w:w="3330" w:type="dxa"/>
            <w:tcBorders/>
            <w:vAlign w:val="center"/>
          </w:tcPr>
          <w:p>
            <w:pPr>
              <w:pStyle w:val="TableContents"/>
              <w:bidi w:val="0"/>
              <w:spacing w:before="0" w:after="283"/>
              <w:jc w:val="left"/>
              <w:rPr/>
            </w:pPr>
            <w:r>
              <w:rPr/>
              <w:t>To be provisioned</w:t>
            </w:r>
          </w:p>
        </w:tc>
      </w:tr>
      <w:tr>
        <w:trPr/>
        <w:tc>
          <w:tcPr>
            <w:tcW w:w="1476" w:type="dxa"/>
            <w:tcBorders/>
            <w:vAlign w:val="center"/>
          </w:tcPr>
          <w:p>
            <w:pPr>
              <w:pStyle w:val="TableContents"/>
              <w:bidi w:val="0"/>
              <w:spacing w:before="0" w:after="283"/>
              <w:jc w:val="left"/>
              <w:rPr/>
            </w:pPr>
            <w:r>
              <w:rPr/>
              <w:t>Email</w:t>
            </w:r>
          </w:p>
        </w:tc>
        <w:tc>
          <w:tcPr>
            <w:tcW w:w="6533" w:type="dxa"/>
            <w:tcBorders/>
            <w:vAlign w:val="center"/>
          </w:tcPr>
          <w:p>
            <w:pPr>
              <w:pStyle w:val="TableContents"/>
              <w:bidi w:val="0"/>
              <w:spacing w:before="0" w:after="283"/>
              <w:jc w:val="left"/>
              <w:rPr/>
            </w:pPr>
            <w:r>
              <w:rPr/>
              <w:t>Managed transactional email service (not the confirmed stack's iRedMail, deferred per 03_Feasibility Study Section 3.3)</w:t>
            </w:r>
          </w:p>
        </w:tc>
        <w:tc>
          <w:tcPr>
            <w:tcW w:w="3330" w:type="dxa"/>
            <w:tcBorders/>
            <w:vAlign w:val="center"/>
          </w:tcPr>
          <w:p>
            <w:pPr>
              <w:pStyle w:val="TableContents"/>
              <w:bidi w:val="0"/>
              <w:spacing w:before="0" w:after="283"/>
              <w:jc w:val="left"/>
              <w:rPr/>
            </w:pPr>
            <w:r>
              <w:rPr/>
              <w:t>To be provisioned</w:t>
            </w:r>
          </w:p>
        </w:tc>
      </w:tr>
      <w:tr>
        <w:trPr/>
        <w:tc>
          <w:tcPr>
            <w:tcW w:w="1476" w:type="dxa"/>
            <w:tcBorders/>
            <w:vAlign w:val="center"/>
          </w:tcPr>
          <w:p>
            <w:pPr>
              <w:pStyle w:val="TableContents"/>
              <w:bidi w:val="0"/>
              <w:spacing w:before="0" w:after="283"/>
              <w:jc w:val="left"/>
              <w:rPr/>
            </w:pPr>
            <w:r>
              <w:rPr/>
              <w:t>Observability</w:t>
            </w:r>
          </w:p>
        </w:tc>
        <w:tc>
          <w:tcPr>
            <w:tcW w:w="6533" w:type="dxa"/>
            <w:tcBorders/>
            <w:vAlign w:val="center"/>
          </w:tcPr>
          <w:p>
            <w:pPr>
              <w:pStyle w:val="TableContents"/>
              <w:bidi w:val="0"/>
              <w:spacing w:before="0" w:after="283"/>
              <w:jc w:val="left"/>
              <w:rPr/>
            </w:pPr>
            <w:r>
              <w:rPr/>
              <w:t>Prometheus/Grafana, Jaeger, EFK Stack — shared platform services</w:t>
            </w:r>
          </w:p>
        </w:tc>
        <w:tc>
          <w:tcPr>
            <w:tcW w:w="3330" w:type="dxa"/>
            <w:tcBorders/>
            <w:vAlign w:val="center"/>
          </w:tcPr>
          <w:p>
            <w:pPr>
              <w:pStyle w:val="TableContents"/>
              <w:bidi w:val="0"/>
              <w:spacing w:before="0" w:after="283"/>
              <w:jc w:val="left"/>
              <w:rPr/>
            </w:pPr>
            <w:r>
              <w:rPr/>
              <w:t>To be provisioned in Sprint 0 (06_User Stories, Section 3)</w:t>
            </w:r>
          </w:p>
        </w:tc>
      </w:tr>
      <w:tr>
        <w:trPr/>
        <w:tc>
          <w:tcPr>
            <w:tcW w:w="1476" w:type="dxa"/>
            <w:tcBorders/>
            <w:vAlign w:val="center"/>
          </w:tcPr>
          <w:p>
            <w:pPr>
              <w:pStyle w:val="TableContents"/>
              <w:bidi w:val="0"/>
              <w:spacing w:before="0" w:after="283"/>
              <w:jc w:val="left"/>
              <w:rPr/>
            </w:pPr>
            <w:r>
              <w:rPr/>
              <w:t>CI/CD</w:t>
            </w:r>
          </w:p>
        </w:tc>
        <w:tc>
          <w:tcPr>
            <w:tcW w:w="6533" w:type="dxa"/>
            <w:tcBorders/>
            <w:vAlign w:val="center"/>
          </w:tcPr>
          <w:p>
            <w:pPr>
              <w:pStyle w:val="TableContents"/>
              <w:bidi w:val="0"/>
              <w:spacing w:before="0" w:after="283"/>
              <w:jc w:val="left"/>
              <w:rPr/>
            </w:pPr>
            <w:r>
              <w:rPr/>
              <w:t>GitLab CI, one independent pipeline per service</w:t>
            </w:r>
          </w:p>
        </w:tc>
        <w:tc>
          <w:tcPr>
            <w:tcW w:w="3330" w:type="dxa"/>
            <w:tcBorders/>
            <w:vAlign w:val="center"/>
          </w:tcPr>
          <w:p>
            <w:pPr>
              <w:pStyle w:val="TableContents"/>
              <w:bidi w:val="0"/>
              <w:spacing w:before="0" w:after="283"/>
              <w:jc w:val="left"/>
              <w:rPr/>
            </w:pPr>
            <w:r>
              <w:rPr/>
              <w:t>To be configured per service as it is built</w:t>
            </w:r>
          </w:p>
        </w:tc>
      </w:tr>
    </w:tbl>
    <w:p>
      <w:pPr>
        <w:pStyle w:val="BodyText"/>
        <w:bidi w:val="0"/>
        <w:spacing w:before="150" w:after="150"/>
        <w:ind w:hanging="0" w:left="150" w:right="150"/>
        <w:jc w:val="left"/>
        <w:rPr>
          <w:sz w:val="21"/>
          <w:bdr w:val="single" w:sz="24" w:space="9" w:color="D98C00"/>
          <w:shd w:fill="FFF4E5" w:val="clear"/>
        </w:rPr>
      </w:pPr>
      <w:r>
        <w:rPr>
          <w:b/>
          <w:sz w:val="21"/>
          <w:bdr w:val="single" w:sz="24" w:space="9" w:color="D98C00"/>
          <w:shd w:fill="FFF4E5" w:val="clear"/>
        </w:rPr>
        <w:t>Open items called out deliberately:</w:t>
      </w:r>
      <w:r>
        <w:rPr>
          <w:sz w:val="21"/>
          <w:bdr w:val="single" w:sz="24" w:space="9" w:color="D98C00"/>
          <w:shd w:fill="FFF4E5" w:val="clear"/>
        </w:rPr>
        <w:t xml:space="preserve"> the production AWS region, exact instance sizing, domain name and Kafka hosting choice are not fixed in this plan because they depend on vendor quotations not yet obtained (01_Project Proposal, Section 9.3). This plan defines the </w:t>
      </w:r>
      <w:r>
        <w:rPr>
          <w:i/>
          <w:sz w:val="21"/>
          <w:bdr w:val="single" w:sz="24" w:space="9" w:color="D98C00"/>
          <w:shd w:fill="FFF4E5" w:val="clear"/>
        </w:rPr>
        <w:t>process</w:t>
      </w:r>
      <w:r>
        <w:rPr>
          <w:sz w:val="21"/>
          <w:bdr w:val="single" w:sz="24" w:space="9" w:color="D98C00"/>
          <w:shd w:fill="FFF4E5" w:val="clear"/>
        </w:rPr>
        <w:t xml:space="preserve"> those decisions will be executed through, not the decisions themselves.</w:t>
      </w:r>
    </w:p>
    <w:p>
      <w:pPr>
        <w:pStyle w:val="Heading2"/>
        <w:bidi w:val="0"/>
        <w:jc w:val="left"/>
        <w:rPr/>
      </w:pPr>
      <w:r>
        <w:rPr/>
        <w:t>4. Database Migration Strategy</w:t>
      </w:r>
    </w:p>
    <w:p>
      <w:pPr>
        <w:pStyle w:val="BodyText"/>
        <w:numPr>
          <w:ilvl w:val="0"/>
          <w:numId w:val="1"/>
        </w:numPr>
        <w:tabs>
          <w:tab w:val="clear" w:pos="1134"/>
          <w:tab w:val="left" w:pos="709" w:leader="none"/>
        </w:tabs>
        <w:bidi w:val="0"/>
        <w:spacing w:before="0" w:after="0"/>
        <w:ind w:hanging="283" w:left="709"/>
        <w:jc w:val="left"/>
        <w:rPr/>
      </w:pPr>
      <w:r>
        <w:rPr/>
        <w:t xml:space="preserve">Each service's schema migrations run independently, via that service's own CI/CD pipeline — consistent with the database-per-service pattern (08_Database Design Document, Section 1). </w:t>
      </w:r>
    </w:p>
    <w:p>
      <w:pPr>
        <w:pStyle w:val="BodyText"/>
        <w:numPr>
          <w:ilvl w:val="0"/>
          <w:numId w:val="1"/>
        </w:numPr>
        <w:tabs>
          <w:tab w:val="clear" w:pos="1134"/>
          <w:tab w:val="left" w:pos="709" w:leader="none"/>
        </w:tabs>
        <w:bidi w:val="0"/>
        <w:spacing w:before="0" w:after="0"/>
        <w:ind w:hanging="283" w:left="709"/>
        <w:jc w:val="left"/>
        <w:rPr/>
      </w:pPr>
      <w:r>
        <w:rPr>
          <w:b/>
        </w:rPr>
        <w:t>Expand/contract pattern:</w:t>
      </w:r>
      <w:r>
        <w:rPr/>
        <w:t xml:space="preserve"> schema changes are additive-first (add a new column/table alongside the old one, deploy the code that uses it, then remove the old column/table in a later release) rather than destructive-in-place. This is what makes per-service rollback (Section 6) possible without also having to revert a database migration under time pressure. </w:t>
      </w:r>
    </w:p>
    <w:p>
      <w:pPr>
        <w:pStyle w:val="BodyText"/>
        <w:numPr>
          <w:ilvl w:val="0"/>
          <w:numId w:val="1"/>
        </w:numPr>
        <w:tabs>
          <w:tab w:val="clear" w:pos="1134"/>
          <w:tab w:val="left" w:pos="709" w:leader="none"/>
        </w:tabs>
        <w:bidi w:val="0"/>
        <w:ind w:hanging="283" w:left="709"/>
        <w:jc w:val="left"/>
        <w:rPr/>
      </w:pPr>
      <w:r>
        <w:rPr/>
        <w:t xml:space="preserve">Migrations are version-controlled and applied automatically as part of each service's deployment pipeline, never run manually against production. </w:t>
      </w:r>
    </w:p>
    <w:p>
      <w:pPr>
        <w:pStyle w:val="Heading2"/>
        <w:bidi w:val="0"/>
        <w:jc w:val="left"/>
        <w:rPr/>
      </w:pPr>
      <w:r>
        <w:rPr/>
        <w:t>5. Standing Deployment Process (Every Release)</w:t>
      </w:r>
    </w:p>
    <w:p>
      <w:pPr>
        <w:pStyle w:val="BodyText"/>
        <w:numPr>
          <w:ilvl w:val="0"/>
          <w:numId w:val="2"/>
        </w:numPr>
        <w:tabs>
          <w:tab w:val="clear" w:pos="1134"/>
          <w:tab w:val="left" w:pos="709" w:leader="none"/>
        </w:tabs>
        <w:bidi w:val="0"/>
        <w:spacing w:before="0" w:after="0"/>
        <w:ind w:hanging="283" w:left="709"/>
        <w:jc w:val="left"/>
        <w:rPr/>
      </w:pPr>
      <w:r>
        <w:rPr/>
        <w:t xml:space="preserve">Developer merges to the service's main branch; GitLab CI runs unit + integration tests (10_Test Plan, Sections 3.1–3.2). </w:t>
      </w:r>
    </w:p>
    <w:p>
      <w:pPr>
        <w:pStyle w:val="BodyText"/>
        <w:numPr>
          <w:ilvl w:val="0"/>
          <w:numId w:val="2"/>
        </w:numPr>
        <w:tabs>
          <w:tab w:val="clear" w:pos="1134"/>
          <w:tab w:val="left" w:pos="709" w:leader="none"/>
        </w:tabs>
        <w:bidi w:val="0"/>
        <w:spacing w:before="0" w:after="0"/>
        <w:ind w:hanging="283" w:left="709"/>
        <w:jc w:val="left"/>
        <w:rPr/>
      </w:pPr>
      <w:r>
        <w:rPr/>
        <w:t xml:space="preserve">On success, the pipeline builds a Docker image, tags it with the commit SHA, and pushes it to the container registry. </w:t>
      </w:r>
    </w:p>
    <w:p>
      <w:pPr>
        <w:pStyle w:val="BodyText"/>
        <w:numPr>
          <w:ilvl w:val="0"/>
          <w:numId w:val="2"/>
        </w:numPr>
        <w:tabs>
          <w:tab w:val="clear" w:pos="1134"/>
          <w:tab w:val="left" w:pos="709" w:leader="none"/>
        </w:tabs>
        <w:bidi w:val="0"/>
        <w:spacing w:before="0" w:after="0"/>
        <w:ind w:hanging="283" w:left="709"/>
        <w:jc w:val="left"/>
        <w:rPr/>
      </w:pPr>
      <w:r>
        <w:rPr/>
        <w:t xml:space="preserve">The pipeline deploys the new image to that service's staging ECS task, running any pending database migration first (Section 4). </w:t>
      </w:r>
    </w:p>
    <w:p>
      <w:pPr>
        <w:pStyle w:val="BodyText"/>
        <w:numPr>
          <w:ilvl w:val="0"/>
          <w:numId w:val="2"/>
        </w:numPr>
        <w:tabs>
          <w:tab w:val="clear" w:pos="1134"/>
          <w:tab w:val="left" w:pos="709" w:leader="none"/>
        </w:tabs>
        <w:bidi w:val="0"/>
        <w:spacing w:before="0" w:after="0"/>
        <w:ind w:hanging="283" w:left="709"/>
        <w:jc w:val="left"/>
        <w:rPr/>
      </w:pPr>
      <w:r>
        <w:rPr/>
        <w:t xml:space="preserve">Automated smoke tests run against staging (a subset of 10_Test Plan Section 8's test cases relevant to that service). </w:t>
      </w:r>
    </w:p>
    <w:p>
      <w:pPr>
        <w:pStyle w:val="BodyText"/>
        <w:numPr>
          <w:ilvl w:val="0"/>
          <w:numId w:val="2"/>
        </w:numPr>
        <w:tabs>
          <w:tab w:val="clear" w:pos="1134"/>
          <w:tab w:val="left" w:pos="709" w:leader="none"/>
        </w:tabs>
        <w:bidi w:val="0"/>
        <w:spacing w:before="0" w:after="0"/>
        <w:ind w:hanging="283" w:left="709"/>
        <w:jc w:val="left"/>
        <w:rPr/>
      </w:pPr>
      <w:r>
        <w:rPr/>
        <w:t xml:space="preserve">On success, the same image is promoted to production via a </w:t>
      </w:r>
      <w:r>
        <w:rPr>
          <w:b/>
        </w:rPr>
        <w:t>rolling deployment</w:t>
      </w:r>
      <w:r>
        <w:rPr/>
        <w:t xml:space="preserve">: ECS starts new tasks running the new image, health-checks them, and only then drains traffic from the old tasks — avoiding downtime for that service. </w:t>
      </w:r>
    </w:p>
    <w:p>
      <w:pPr>
        <w:pStyle w:val="BodyText"/>
        <w:numPr>
          <w:ilvl w:val="0"/>
          <w:numId w:val="2"/>
        </w:numPr>
        <w:tabs>
          <w:tab w:val="clear" w:pos="1134"/>
          <w:tab w:val="left" w:pos="709" w:leader="none"/>
        </w:tabs>
        <w:bidi w:val="0"/>
        <w:ind w:hanging="283" w:left="709"/>
        <w:jc w:val="left"/>
        <w:rPr/>
      </w:pPr>
      <w:r>
        <w:rPr/>
        <w:t xml:space="preserve">Because services are independently deployable (07_System Design Document, ADR-02), this process runs per service — deploying a fix to the Employee Service does not require redeploying the other seven. </w:t>
      </w:r>
    </w:p>
    <w:p>
      <w:pPr>
        <w:pStyle w:val="BodyText"/>
        <w:bidi w:val="0"/>
        <w:spacing w:before="150" w:after="150"/>
        <w:ind w:hanging="0" w:left="150" w:right="150"/>
        <w:jc w:val="left"/>
        <w:rPr>
          <w:sz w:val="21"/>
          <w:bdr w:val="single" w:sz="24" w:space="9" w:color="D98C00"/>
          <w:shd w:fill="FFF4E5" w:val="clear"/>
        </w:rPr>
      </w:pPr>
      <w:r>
        <w:rPr>
          <w:sz w:val="21"/>
          <w:bdr w:val="single" w:sz="24" w:space="9" w:color="D98C00"/>
          <w:shd w:fill="FFF4E5" w:val="clear"/>
        </w:rPr>
        <w:t>This per-service independence is one of the concrete operational benefits the microservices decision (superseding the originally recommended monolith) delivers in exchange for its added complexity: a bad release is contained to one service and can be rolled back (Section 6) without an all-or-nothing redeploy of the whole system.</w:t>
      </w:r>
    </w:p>
    <w:p>
      <w:pPr>
        <w:pStyle w:val="Heading2"/>
        <w:bidi w:val="0"/>
        <w:jc w:val="left"/>
        <w:rPr/>
      </w:pPr>
      <w:r>
        <w:rPr/>
        <w:t>6. Rollback Procedures</w:t>
      </w:r>
    </w:p>
    <w:tbl>
      <w:tblPr>
        <w:tblW w:w="11339" w:type="dxa"/>
        <w:jc w:val="left"/>
        <w:tblInd w:w="28" w:type="dxa"/>
        <w:tblLayout w:type="fixed"/>
        <w:tblCellMar>
          <w:top w:w="28" w:type="dxa"/>
          <w:left w:w="28" w:type="dxa"/>
          <w:bottom w:w="28" w:type="dxa"/>
          <w:right w:w="28" w:type="dxa"/>
        </w:tblCellMar>
      </w:tblPr>
      <w:tblGrid>
        <w:gridCol w:w="3400"/>
        <w:gridCol w:w="7939"/>
      </w:tblGrid>
      <w:tr>
        <w:trPr/>
        <w:tc>
          <w:tcPr>
            <w:tcW w:w="3400" w:type="dxa"/>
            <w:tcBorders/>
            <w:vAlign w:val="center"/>
          </w:tcPr>
          <w:p>
            <w:pPr>
              <w:pStyle w:val="TableHeading"/>
              <w:suppressLineNumbers/>
              <w:shd w:fill="1F3864" w:val="clear"/>
              <w:bidi w:val="0"/>
              <w:spacing w:before="0" w:after="283"/>
              <w:jc w:val="left"/>
              <w:rPr/>
            </w:pPr>
            <w:r>
              <w:rPr/>
              <w:t>Scenario</w:t>
            </w:r>
          </w:p>
        </w:tc>
        <w:tc>
          <w:tcPr>
            <w:tcW w:w="7939" w:type="dxa"/>
            <w:tcBorders/>
            <w:vAlign w:val="center"/>
          </w:tcPr>
          <w:p>
            <w:pPr>
              <w:pStyle w:val="TableHeading"/>
              <w:suppressLineNumbers/>
              <w:shd w:fill="1F3864" w:val="clear"/>
              <w:bidi w:val="0"/>
              <w:spacing w:before="0" w:after="283"/>
              <w:jc w:val="left"/>
              <w:rPr/>
            </w:pPr>
            <w:r>
              <w:rPr/>
              <w:t>Rollback Procedure</w:t>
            </w:r>
          </w:p>
        </w:tc>
      </w:tr>
      <w:tr>
        <w:trPr/>
        <w:tc>
          <w:tcPr>
            <w:tcW w:w="3400" w:type="dxa"/>
            <w:tcBorders/>
            <w:vAlign w:val="center"/>
          </w:tcPr>
          <w:p>
            <w:pPr>
              <w:pStyle w:val="TableContents"/>
              <w:bidi w:val="0"/>
              <w:spacing w:before="0" w:after="283"/>
              <w:jc w:val="left"/>
              <w:rPr/>
            </w:pPr>
            <w:r>
              <w:rPr/>
              <w:t>A newly deployed service version fails its health check</w:t>
            </w:r>
          </w:p>
        </w:tc>
        <w:tc>
          <w:tcPr>
            <w:tcW w:w="7939" w:type="dxa"/>
            <w:tcBorders/>
            <w:vAlign w:val="center"/>
          </w:tcPr>
          <w:p>
            <w:pPr>
              <w:pStyle w:val="TableContents"/>
              <w:bidi w:val="0"/>
              <w:spacing w:before="0" w:after="283"/>
              <w:jc w:val="left"/>
              <w:rPr/>
            </w:pPr>
            <w:r>
              <w:rPr/>
              <w:t>ECS automatically halts the rollout and keeps the previous task version serving traffic — no manual action required</w:t>
            </w:r>
          </w:p>
        </w:tc>
      </w:tr>
      <w:tr>
        <w:trPr/>
        <w:tc>
          <w:tcPr>
            <w:tcW w:w="3400" w:type="dxa"/>
            <w:tcBorders/>
            <w:vAlign w:val="center"/>
          </w:tcPr>
          <w:p>
            <w:pPr>
              <w:pStyle w:val="TableContents"/>
              <w:bidi w:val="0"/>
              <w:spacing w:before="0" w:after="283"/>
              <w:jc w:val="left"/>
              <w:rPr/>
            </w:pPr>
            <w:r>
              <w:rPr/>
              <w:t>A newly deployed service version passes health checks but is later found defective</w:t>
            </w:r>
          </w:p>
        </w:tc>
        <w:tc>
          <w:tcPr>
            <w:tcW w:w="7939" w:type="dxa"/>
            <w:tcBorders/>
            <w:vAlign w:val="center"/>
          </w:tcPr>
          <w:p>
            <w:pPr>
              <w:pStyle w:val="TableContents"/>
              <w:bidi w:val="0"/>
              <w:spacing w:before="0" w:after="283"/>
              <w:jc w:val="left"/>
              <w:rPr/>
            </w:pPr>
            <w:r>
              <w:rPr/>
              <w:t>Redeploy the previous image tag via the same pipeline (Section 5); safe because of the expand/contract migration pattern (Section 4)</w:t>
            </w:r>
          </w:p>
        </w:tc>
      </w:tr>
      <w:tr>
        <w:trPr/>
        <w:tc>
          <w:tcPr>
            <w:tcW w:w="3400" w:type="dxa"/>
            <w:tcBorders/>
            <w:vAlign w:val="center"/>
          </w:tcPr>
          <w:p>
            <w:pPr>
              <w:pStyle w:val="TableContents"/>
              <w:bidi w:val="0"/>
              <w:spacing w:before="0" w:after="283"/>
              <w:jc w:val="left"/>
              <w:rPr/>
            </w:pPr>
            <w:r>
              <w:rPr/>
              <w:t>A database migration itself is defective</w:t>
            </w:r>
          </w:p>
        </w:tc>
        <w:tc>
          <w:tcPr>
            <w:tcW w:w="7939" w:type="dxa"/>
            <w:tcBorders/>
            <w:vAlign w:val="center"/>
          </w:tcPr>
          <w:p>
            <w:pPr>
              <w:pStyle w:val="TableContents"/>
              <w:bidi w:val="0"/>
              <w:spacing w:before="0" w:after="283"/>
              <w:jc w:val="left"/>
              <w:rPr/>
            </w:pPr>
            <w:r>
              <w:rPr/>
              <w:t>Because migrations are additive-first (Section 4), the previous application version continues to work against the new schema while a fix is prepared — a destructive rollback of the migration itself is a last resort, not the default</w:t>
            </w:r>
          </w:p>
        </w:tc>
      </w:tr>
      <w:tr>
        <w:trPr/>
        <w:tc>
          <w:tcPr>
            <w:tcW w:w="3400" w:type="dxa"/>
            <w:tcBorders/>
            <w:vAlign w:val="center"/>
          </w:tcPr>
          <w:p>
            <w:pPr>
              <w:pStyle w:val="TableContents"/>
              <w:bidi w:val="0"/>
              <w:spacing w:before="0" w:after="283"/>
              <w:jc w:val="left"/>
              <w:rPr/>
            </w:pPr>
            <w:r>
              <w:rPr/>
              <w:t>A defect is found in the Accounting Service specifically, after journal entries have already been posted with the new version</w:t>
            </w:r>
          </w:p>
        </w:tc>
        <w:tc>
          <w:tcPr>
            <w:tcW w:w="7939" w:type="dxa"/>
            <w:tcBorders/>
            <w:vAlign w:val="center"/>
          </w:tcPr>
          <w:p>
            <w:pPr>
              <w:pStyle w:val="TableContents"/>
              <w:bidi w:val="0"/>
              <w:spacing w:before="0" w:after="283"/>
              <w:jc w:val="left"/>
              <w:rPr/>
            </w:pPr>
            <w:r>
              <w:rPr/>
              <w:t>Do not roll back the schema or delete posted entries — financial data is never deleted (08_Database Design Document, Section 2 "status, not hard delete"). Roll back the application code only, and correct any bad entries through a new, properly authorized adjusting journal entry (FR-ACC-07), never a direct data edit</w:t>
            </w:r>
          </w:p>
        </w:tc>
      </w:tr>
      <w:tr>
        <w:trPr/>
        <w:tc>
          <w:tcPr>
            <w:tcW w:w="3400" w:type="dxa"/>
            <w:tcBorders/>
            <w:vAlign w:val="center"/>
          </w:tcPr>
          <w:p>
            <w:pPr>
              <w:pStyle w:val="TableContents"/>
              <w:bidi w:val="0"/>
              <w:spacing w:before="0" w:after="283"/>
              <w:jc w:val="left"/>
              <w:rPr/>
            </w:pPr>
            <w:r>
              <w:rPr/>
              <w:t>A systemic issue affects the API Gateway or Kafka itself</w:t>
            </w:r>
          </w:p>
        </w:tc>
        <w:tc>
          <w:tcPr>
            <w:tcW w:w="7939" w:type="dxa"/>
            <w:tcBorders/>
            <w:vAlign w:val="center"/>
          </w:tcPr>
          <w:p>
            <w:pPr>
              <w:pStyle w:val="TableContents"/>
              <w:bidi w:val="0"/>
              <w:spacing w:before="0" w:after="283"/>
              <w:jc w:val="left"/>
              <w:rPr/>
            </w:pPr>
            <w:r>
              <w:rPr/>
              <w:t>Roll back the Gateway/Kafka configuration to the last known-good version; this affects all services simultaneously and is the one rollback scenario that is not service-independent</w:t>
            </w:r>
          </w:p>
        </w:tc>
      </w:tr>
    </w:tbl>
    <w:p>
      <w:pPr>
        <w:pStyle w:val="Heading2"/>
        <w:bidi w:val="0"/>
        <w:jc w:val="left"/>
        <w:rPr/>
      </w:pPr>
      <w:r>
        <w:rPr/>
        <w:t>7. Data Migration into Production</w:t>
      </w:r>
    </w:p>
    <w:p>
      <w:pPr>
        <w:pStyle w:val="BodyText"/>
        <w:bidi w:val="0"/>
        <w:jc w:val="left"/>
        <w:rPr/>
      </w:pPr>
      <w:r>
        <w:rPr/>
        <w:t>Per 08_Database Design Document, Section 14, and 05_Business Process Document's clean → validate → test import → user verification → production import process:</w:t>
      </w:r>
    </w:p>
    <w:p>
      <w:pPr>
        <w:pStyle w:val="BodyText"/>
        <w:numPr>
          <w:ilvl w:val="0"/>
          <w:numId w:val="3"/>
        </w:numPr>
        <w:tabs>
          <w:tab w:val="clear" w:pos="1134"/>
          <w:tab w:val="left" w:pos="709" w:leader="none"/>
        </w:tabs>
        <w:bidi w:val="0"/>
        <w:spacing w:before="0" w:after="0"/>
        <w:ind w:hanging="283" w:left="709"/>
        <w:jc w:val="left"/>
        <w:rPr/>
      </w:pPr>
      <w:r>
        <w:rPr/>
        <w:t xml:space="preserve">Organization Service data (companies, branches, departments) migrated first, since every other service's records carry a logical </w:t>
      </w:r>
      <w:r>
        <w:rPr>
          <w:rStyle w:val="SourceText"/>
        </w:rPr>
        <w:t>company_id</w:t>
      </w:r>
      <w:r>
        <w:rPr/>
        <w:t xml:space="preserve"> reference to it. </w:t>
      </w:r>
    </w:p>
    <w:p>
      <w:pPr>
        <w:pStyle w:val="BodyText"/>
        <w:numPr>
          <w:ilvl w:val="0"/>
          <w:numId w:val="3"/>
        </w:numPr>
        <w:tabs>
          <w:tab w:val="clear" w:pos="1134"/>
          <w:tab w:val="left" w:pos="709" w:leader="none"/>
        </w:tabs>
        <w:bidi w:val="0"/>
        <w:spacing w:before="0" w:after="0"/>
        <w:ind w:hanging="283" w:left="709"/>
        <w:jc w:val="left"/>
        <w:rPr/>
      </w:pPr>
      <w:r>
        <w:rPr/>
        <w:t xml:space="preserve">Identity Service data (users, roles, scope assignments) migrated next. </w:t>
      </w:r>
    </w:p>
    <w:p>
      <w:pPr>
        <w:pStyle w:val="BodyText"/>
        <w:numPr>
          <w:ilvl w:val="0"/>
          <w:numId w:val="3"/>
        </w:numPr>
        <w:tabs>
          <w:tab w:val="clear" w:pos="1134"/>
          <w:tab w:val="left" w:pos="709" w:leader="none"/>
        </w:tabs>
        <w:bidi w:val="0"/>
        <w:spacing w:before="0" w:after="0"/>
        <w:ind w:hanging="283" w:left="709"/>
        <w:jc w:val="left"/>
        <w:rPr/>
      </w:pPr>
      <w:r>
        <w:rPr/>
        <w:t xml:space="preserve">Employee, Customer, Supplier and Product Service data migrated in parallel (no dependency between them). </w:t>
      </w:r>
    </w:p>
    <w:p>
      <w:pPr>
        <w:pStyle w:val="BodyText"/>
        <w:numPr>
          <w:ilvl w:val="0"/>
          <w:numId w:val="3"/>
        </w:numPr>
        <w:tabs>
          <w:tab w:val="clear" w:pos="1134"/>
          <w:tab w:val="left" w:pos="709" w:leader="none"/>
        </w:tabs>
        <w:bidi w:val="0"/>
        <w:spacing w:before="0" w:after="0"/>
        <w:ind w:hanging="283" w:left="709"/>
        <w:jc w:val="left"/>
        <w:rPr/>
      </w:pPr>
      <w:r>
        <w:rPr/>
        <w:t xml:space="preserve">Accounting Service data (chart of accounts, opening balances per FR-ACC-06) migrated last, since it depends on companies already existing. </w:t>
      </w:r>
    </w:p>
    <w:p>
      <w:pPr>
        <w:pStyle w:val="BodyText"/>
        <w:numPr>
          <w:ilvl w:val="0"/>
          <w:numId w:val="3"/>
        </w:numPr>
        <w:tabs>
          <w:tab w:val="clear" w:pos="1134"/>
          <w:tab w:val="left" w:pos="709" w:leader="none"/>
        </w:tabs>
        <w:bidi w:val="0"/>
        <w:ind w:hanging="283" w:left="709"/>
        <w:jc w:val="left"/>
        <w:rPr/>
      </w:pPr>
      <w:r>
        <w:rPr/>
        <w:t xml:space="preserve">Each step is validated by the relevant process owner (05_Business Process Document, Section 10) before the next step proceeds — production import does not begin until the prior company's records have passed user verification. </w:t>
      </w:r>
    </w:p>
    <w:p>
      <w:pPr>
        <w:pStyle w:val="Heading2"/>
        <w:bidi w:val="0"/>
        <w:jc w:val="left"/>
        <w:rPr/>
      </w:pPr>
      <w:r>
        <w:rPr/>
        <w:t>8. Phase 1 Go-Live Rollout Strategy</w:t>
      </w:r>
    </w:p>
    <w:p>
      <w:pPr>
        <w:pStyle w:val="BodyText"/>
        <w:bidi w:val="0"/>
        <w:jc w:val="left"/>
        <w:rPr/>
      </w:pPr>
      <w:r>
        <w:rPr/>
        <w:t>Per the Group's software development procedures ("Pilot → Fix Problems → Deploy to Second Subsidiary → Fix Problems → Deploy to Remaining Companies → Full Group Rollout") and 01_Project Proposal, Section 8:</w:t>
      </w:r>
    </w:p>
    <w:tbl>
      <w:tblPr>
        <w:tblW w:w="11339" w:type="dxa"/>
        <w:jc w:val="left"/>
        <w:tblInd w:w="28" w:type="dxa"/>
        <w:tblLayout w:type="fixed"/>
        <w:tblCellMar>
          <w:top w:w="28" w:type="dxa"/>
          <w:left w:w="28" w:type="dxa"/>
          <w:bottom w:w="28" w:type="dxa"/>
          <w:right w:w="28" w:type="dxa"/>
        </w:tblCellMar>
      </w:tblPr>
      <w:tblGrid>
        <w:gridCol w:w="2066"/>
        <w:gridCol w:w="5528"/>
        <w:gridCol w:w="3745"/>
      </w:tblGrid>
      <w:tr>
        <w:trPr/>
        <w:tc>
          <w:tcPr>
            <w:tcW w:w="2066" w:type="dxa"/>
            <w:tcBorders/>
            <w:vAlign w:val="center"/>
          </w:tcPr>
          <w:p>
            <w:pPr>
              <w:pStyle w:val="TableHeading"/>
              <w:suppressLineNumbers/>
              <w:shd w:fill="1F3864" w:val="clear"/>
              <w:bidi w:val="0"/>
              <w:spacing w:before="0" w:after="283"/>
              <w:jc w:val="left"/>
              <w:rPr/>
            </w:pPr>
            <w:r>
              <w:rPr/>
              <w:t>Stage</w:t>
            </w:r>
          </w:p>
        </w:tc>
        <w:tc>
          <w:tcPr>
            <w:tcW w:w="5528" w:type="dxa"/>
            <w:tcBorders/>
            <w:vAlign w:val="center"/>
          </w:tcPr>
          <w:p>
            <w:pPr>
              <w:pStyle w:val="TableHeading"/>
              <w:suppressLineNumbers/>
              <w:shd w:fill="1F3864" w:val="clear"/>
              <w:bidi w:val="0"/>
              <w:spacing w:before="0" w:after="283"/>
              <w:jc w:val="left"/>
              <w:rPr/>
            </w:pPr>
            <w:r>
              <w:rPr/>
              <w:t>Activity</w:t>
            </w:r>
          </w:p>
        </w:tc>
        <w:tc>
          <w:tcPr>
            <w:tcW w:w="3745" w:type="dxa"/>
            <w:tcBorders/>
            <w:vAlign w:val="center"/>
          </w:tcPr>
          <w:p>
            <w:pPr>
              <w:pStyle w:val="TableHeading"/>
              <w:suppressLineNumbers/>
              <w:shd w:fill="1F3864" w:val="clear"/>
              <w:bidi w:val="0"/>
              <w:spacing w:before="0" w:after="283"/>
              <w:jc w:val="left"/>
              <w:rPr/>
            </w:pPr>
            <w:r>
              <w:rPr/>
              <w:t>Exit Condition</w:t>
            </w:r>
          </w:p>
        </w:tc>
      </w:tr>
      <w:tr>
        <w:trPr/>
        <w:tc>
          <w:tcPr>
            <w:tcW w:w="2066" w:type="dxa"/>
            <w:tcBorders/>
            <w:vAlign w:val="center"/>
          </w:tcPr>
          <w:p>
            <w:pPr>
              <w:pStyle w:val="TableContents"/>
              <w:bidi w:val="0"/>
              <w:spacing w:before="0" w:after="283"/>
              <w:jc w:val="left"/>
              <w:rPr/>
            </w:pPr>
            <w:r>
              <w:rPr/>
              <w:t>1. Infrastructure cutover</w:t>
            </w:r>
          </w:p>
        </w:tc>
        <w:tc>
          <w:tcPr>
            <w:tcW w:w="5528" w:type="dxa"/>
            <w:tcBorders/>
            <w:vAlign w:val="center"/>
          </w:tcPr>
          <w:p>
            <w:pPr>
              <w:pStyle w:val="TableContents"/>
              <w:bidi w:val="0"/>
              <w:spacing w:before="0" w:after="283"/>
              <w:jc w:val="left"/>
              <w:rPr/>
            </w:pPr>
            <w:r>
              <w:rPr/>
              <w:t>Production environment provisioned (Section 3); DNS pointed to production; TLS active</w:t>
            </w:r>
          </w:p>
        </w:tc>
        <w:tc>
          <w:tcPr>
            <w:tcW w:w="3745" w:type="dxa"/>
            <w:tcBorders/>
            <w:vAlign w:val="center"/>
          </w:tcPr>
          <w:p>
            <w:pPr>
              <w:pStyle w:val="TableContents"/>
              <w:bidi w:val="0"/>
              <w:spacing w:before="0" w:after="283"/>
              <w:jc w:val="left"/>
              <w:rPr/>
            </w:pPr>
            <w:r>
              <w:rPr/>
              <w:t>All eight services healthy in production, no user traffic yet</w:t>
            </w:r>
          </w:p>
        </w:tc>
      </w:tr>
      <w:tr>
        <w:trPr/>
        <w:tc>
          <w:tcPr>
            <w:tcW w:w="2066" w:type="dxa"/>
            <w:tcBorders/>
            <w:vAlign w:val="center"/>
          </w:tcPr>
          <w:p>
            <w:pPr>
              <w:pStyle w:val="TableContents"/>
              <w:bidi w:val="0"/>
              <w:spacing w:before="0" w:after="283"/>
              <w:jc w:val="left"/>
              <w:rPr/>
            </w:pPr>
            <w:r>
              <w:rPr/>
              <w:t>2. Pilot subsidiary onboarding</w:t>
            </w:r>
          </w:p>
        </w:tc>
        <w:tc>
          <w:tcPr>
            <w:tcW w:w="5528" w:type="dxa"/>
            <w:tcBorders/>
            <w:vAlign w:val="center"/>
          </w:tcPr>
          <w:p>
            <w:pPr>
              <w:pStyle w:val="TableContents"/>
              <w:bidi w:val="0"/>
              <w:spacing w:before="0" w:after="283"/>
              <w:jc w:val="left"/>
              <w:rPr/>
            </w:pPr>
            <w:r>
              <w:rPr/>
              <w:t>One subsidiary's data migrated (Section 7); pilot users trained (per the Group's procedures, Phase 19 training plan)</w:t>
            </w:r>
          </w:p>
        </w:tc>
        <w:tc>
          <w:tcPr>
            <w:tcW w:w="3745" w:type="dxa"/>
            <w:tcBorders/>
            <w:vAlign w:val="center"/>
          </w:tcPr>
          <w:p>
            <w:pPr>
              <w:pStyle w:val="TableContents"/>
              <w:bidi w:val="0"/>
              <w:spacing w:before="0" w:after="283"/>
              <w:jc w:val="left"/>
              <w:rPr/>
            </w:pPr>
            <w:r>
              <w:rPr/>
              <w:t>Pilot subsidiary using the system for real work for an agreed trial period</w:t>
            </w:r>
          </w:p>
        </w:tc>
      </w:tr>
      <w:tr>
        <w:trPr/>
        <w:tc>
          <w:tcPr>
            <w:tcW w:w="2066" w:type="dxa"/>
            <w:tcBorders/>
            <w:vAlign w:val="center"/>
          </w:tcPr>
          <w:p>
            <w:pPr>
              <w:pStyle w:val="TableContents"/>
              <w:bidi w:val="0"/>
              <w:spacing w:before="0" w:after="283"/>
              <w:jc w:val="left"/>
              <w:rPr/>
            </w:pPr>
            <w:r>
              <w:rPr/>
              <w:t>3. Pilot issue resolution</w:t>
            </w:r>
          </w:p>
        </w:tc>
        <w:tc>
          <w:tcPr>
            <w:tcW w:w="5528" w:type="dxa"/>
            <w:tcBorders/>
            <w:vAlign w:val="center"/>
          </w:tcPr>
          <w:p>
            <w:pPr>
              <w:pStyle w:val="TableContents"/>
              <w:bidi w:val="0"/>
              <w:spacing w:before="0" w:after="283"/>
              <w:jc w:val="left"/>
              <w:rPr/>
            </w:pPr>
            <w:r>
              <w:rPr/>
              <w:t>Defects found during pilot use are triaged and fixed per 10_Test Plan, Section 9</w:t>
            </w:r>
          </w:p>
        </w:tc>
        <w:tc>
          <w:tcPr>
            <w:tcW w:w="3745" w:type="dxa"/>
            <w:tcBorders/>
            <w:vAlign w:val="center"/>
          </w:tcPr>
          <w:p>
            <w:pPr>
              <w:pStyle w:val="TableContents"/>
              <w:bidi w:val="0"/>
              <w:spacing w:before="0" w:after="283"/>
              <w:jc w:val="left"/>
              <w:rPr/>
            </w:pPr>
            <w:r>
              <w:rPr/>
              <w:t>No open Critical/High defects from pilot use</w:t>
            </w:r>
          </w:p>
        </w:tc>
      </w:tr>
      <w:tr>
        <w:trPr/>
        <w:tc>
          <w:tcPr>
            <w:tcW w:w="2066" w:type="dxa"/>
            <w:tcBorders/>
            <w:vAlign w:val="center"/>
          </w:tcPr>
          <w:p>
            <w:pPr>
              <w:pStyle w:val="TableContents"/>
              <w:bidi w:val="0"/>
              <w:spacing w:before="0" w:after="283"/>
              <w:jc w:val="left"/>
              <w:rPr/>
            </w:pPr>
            <w:r>
              <w:rPr/>
              <w:t>4. Second subsidiary</w:t>
            </w:r>
          </w:p>
        </w:tc>
        <w:tc>
          <w:tcPr>
            <w:tcW w:w="5528" w:type="dxa"/>
            <w:tcBorders/>
            <w:vAlign w:val="center"/>
          </w:tcPr>
          <w:p>
            <w:pPr>
              <w:pStyle w:val="TableContents"/>
              <w:bidi w:val="0"/>
              <w:spacing w:before="0" w:after="283"/>
              <w:jc w:val="left"/>
              <w:rPr/>
            </w:pPr>
            <w:r>
              <w:rPr/>
              <w:t>Repeat data migration and training for a second subsidiary</w:t>
            </w:r>
          </w:p>
        </w:tc>
        <w:tc>
          <w:tcPr>
            <w:tcW w:w="3745" w:type="dxa"/>
            <w:tcBorders/>
            <w:vAlign w:val="center"/>
          </w:tcPr>
          <w:p>
            <w:pPr>
              <w:pStyle w:val="TableContents"/>
              <w:bidi w:val="0"/>
              <w:spacing w:before="0" w:after="283"/>
              <w:jc w:val="left"/>
              <w:rPr/>
            </w:pPr>
            <w:r>
              <w:rPr/>
              <w:t>Both subsidiaries operating normally</w:t>
            </w:r>
          </w:p>
        </w:tc>
      </w:tr>
      <w:tr>
        <w:trPr/>
        <w:tc>
          <w:tcPr>
            <w:tcW w:w="2066" w:type="dxa"/>
            <w:tcBorders/>
            <w:vAlign w:val="center"/>
          </w:tcPr>
          <w:p>
            <w:pPr>
              <w:pStyle w:val="TableContents"/>
              <w:bidi w:val="0"/>
              <w:spacing w:before="0" w:after="283"/>
              <w:jc w:val="left"/>
              <w:rPr/>
            </w:pPr>
            <w:r>
              <w:rPr/>
              <w:t>5. Remaining companies</w:t>
            </w:r>
          </w:p>
        </w:tc>
        <w:tc>
          <w:tcPr>
            <w:tcW w:w="5528" w:type="dxa"/>
            <w:tcBorders/>
            <w:vAlign w:val="center"/>
          </w:tcPr>
          <w:p>
            <w:pPr>
              <w:pStyle w:val="TableContents"/>
              <w:bidi w:val="0"/>
              <w:spacing w:before="0" w:after="283"/>
              <w:jc w:val="left"/>
              <w:rPr/>
            </w:pPr>
            <w:r>
              <w:rPr/>
              <w:t>Roll out to remaining subsidiaries/branches in agreed batches, not all at once</w:t>
            </w:r>
          </w:p>
        </w:tc>
        <w:tc>
          <w:tcPr>
            <w:tcW w:w="3745" w:type="dxa"/>
            <w:tcBorders/>
            <w:vAlign w:val="center"/>
          </w:tcPr>
          <w:p>
            <w:pPr>
              <w:pStyle w:val="TableContents"/>
              <w:bidi w:val="0"/>
              <w:spacing w:before="0" w:after="283"/>
              <w:jc w:val="left"/>
              <w:rPr/>
            </w:pPr>
            <w:r>
              <w:rPr/>
              <w:t>All companies onboarded</w:t>
            </w:r>
          </w:p>
        </w:tc>
      </w:tr>
      <w:tr>
        <w:trPr/>
        <w:tc>
          <w:tcPr>
            <w:tcW w:w="2066" w:type="dxa"/>
            <w:tcBorders/>
            <w:vAlign w:val="center"/>
          </w:tcPr>
          <w:p>
            <w:pPr>
              <w:pStyle w:val="TableContents"/>
              <w:bidi w:val="0"/>
              <w:spacing w:before="0" w:after="283"/>
              <w:jc w:val="left"/>
              <w:rPr/>
            </w:pPr>
            <w:r>
              <w:rPr/>
              <w:t>6. Full Group rollout complete</w:t>
            </w:r>
          </w:p>
        </w:tc>
        <w:tc>
          <w:tcPr>
            <w:tcW w:w="5528" w:type="dxa"/>
            <w:tcBorders/>
            <w:vAlign w:val="center"/>
          </w:tcPr>
          <w:p>
            <w:pPr>
              <w:pStyle w:val="TableContents"/>
              <w:bidi w:val="0"/>
              <w:spacing w:before="0" w:after="283"/>
              <w:jc w:val="left"/>
              <w:rPr/>
            </w:pPr>
            <w:r>
              <w:rPr/>
              <w:t>All Group companies live on MBMS Phase 1</w:t>
            </w:r>
          </w:p>
        </w:tc>
        <w:tc>
          <w:tcPr>
            <w:tcW w:w="3745" w:type="dxa"/>
            <w:tcBorders/>
            <w:vAlign w:val="center"/>
          </w:tcPr>
          <w:p>
            <w:pPr>
              <w:pStyle w:val="TableContents"/>
              <w:bidi w:val="0"/>
              <w:spacing w:before="0" w:after="283"/>
              <w:jc w:val="left"/>
              <w:rPr/>
            </w:pPr>
            <w:r>
              <w:rPr/>
              <w:t>Formal go-live sign-off recorded (Section 9)</w:t>
            </w:r>
          </w:p>
        </w:tc>
      </w:tr>
    </w:tbl>
    <w:p>
      <w:pPr>
        <w:pStyle w:val="BodyText"/>
        <w:bidi w:val="0"/>
        <w:spacing w:before="150" w:after="150"/>
        <w:ind w:hanging="0" w:left="150" w:right="150"/>
        <w:jc w:val="left"/>
        <w:rPr>
          <w:sz w:val="21"/>
          <w:bdr w:val="single" w:sz="24" w:space="9" w:color="D98C00"/>
          <w:shd w:fill="FFF4E5" w:val="clear"/>
        </w:rPr>
      </w:pPr>
      <w:r>
        <w:rPr>
          <w:sz w:val="21"/>
          <w:bdr w:val="single" w:sz="24" w:space="9" w:color="D98C00"/>
          <w:shd w:fill="FFF4E5" w:val="clear"/>
        </w:rPr>
        <w:t>This staged approach exists specifically so that a Phase 1 defect surfaces against one subsidiary's real usage before it can affect the whole Group — the same risk-containment logic as Section 6's per-service rollback, applied at the organizational level instead of the technical one.</w:t>
      </w:r>
    </w:p>
    <w:p>
      <w:pPr>
        <w:pStyle w:val="Heading2"/>
        <w:bidi w:val="0"/>
        <w:jc w:val="left"/>
        <w:rPr/>
      </w:pPr>
      <w:r>
        <w:rPr/>
        <w:t>9. Cutover Communication and Sign-off</w:t>
      </w:r>
    </w:p>
    <w:p>
      <w:pPr>
        <w:pStyle w:val="BodyText"/>
        <w:numPr>
          <w:ilvl w:val="0"/>
          <w:numId w:val="4"/>
        </w:numPr>
        <w:tabs>
          <w:tab w:val="clear" w:pos="1134"/>
          <w:tab w:val="left" w:pos="709" w:leader="none"/>
        </w:tabs>
        <w:bidi w:val="0"/>
        <w:spacing w:before="0" w:after="0"/>
        <w:ind w:hanging="283" w:left="709"/>
        <w:jc w:val="left"/>
        <w:rPr/>
      </w:pPr>
      <w:r>
        <w:rPr/>
        <w:t xml:space="preserve">Pilot subsidiary users notified in advance of go-live date, training schedule, and who to contact for support issues (per 10_Test Plan, Section 7 roles). </w:t>
      </w:r>
    </w:p>
    <w:p>
      <w:pPr>
        <w:pStyle w:val="BodyText"/>
        <w:numPr>
          <w:ilvl w:val="0"/>
          <w:numId w:val="4"/>
        </w:numPr>
        <w:tabs>
          <w:tab w:val="clear" w:pos="1134"/>
          <w:tab w:val="left" w:pos="709" w:leader="none"/>
        </w:tabs>
        <w:bidi w:val="0"/>
        <w:spacing w:before="0" w:after="0"/>
        <w:ind w:hanging="283" w:left="709"/>
        <w:jc w:val="left"/>
        <w:rPr/>
      </w:pPr>
      <w:r>
        <w:rPr/>
        <w:t xml:space="preserve">Managing Director and Board notified at each stage transition in Section 8's table, not only at final go-live. </w:t>
      </w:r>
    </w:p>
    <w:p>
      <w:pPr>
        <w:pStyle w:val="BodyText"/>
        <w:numPr>
          <w:ilvl w:val="0"/>
          <w:numId w:val="4"/>
        </w:numPr>
        <w:tabs>
          <w:tab w:val="clear" w:pos="1134"/>
          <w:tab w:val="left" w:pos="709" w:leader="none"/>
        </w:tabs>
        <w:bidi w:val="0"/>
        <w:ind w:hanging="283" w:left="709"/>
        <w:jc w:val="left"/>
        <w:rPr/>
      </w:pPr>
      <w:r>
        <w:rPr/>
        <w:t xml:space="preserve">Formal go-live sign-off recorded by the Managing Director once Stage 6 is reached, referencing this plan and 10_Test Plan's exit checklist. </w:t>
      </w:r>
    </w:p>
    <w:p>
      <w:pPr>
        <w:pStyle w:val="Heading2"/>
        <w:bidi w:val="0"/>
        <w:jc w:val="left"/>
        <w:rPr/>
      </w:pPr>
      <w:r>
        <w:rPr/>
        <w:t>10. Post-Deployment Verification</w:t>
      </w:r>
    </w:p>
    <w:p>
      <w:pPr>
        <w:pStyle w:val="BodyText"/>
        <w:numPr>
          <w:ilvl w:val="0"/>
          <w:numId w:val="5"/>
        </w:numPr>
        <w:tabs>
          <w:tab w:val="clear" w:pos="1134"/>
          <w:tab w:val="left" w:pos="709" w:leader="none"/>
        </w:tabs>
        <w:bidi w:val="0"/>
        <w:spacing w:before="0" w:after="0"/>
        <w:ind w:hanging="283" w:left="709"/>
        <w:jc w:val="left"/>
        <w:rPr/>
      </w:pPr>
      <w:r>
        <w:rPr/>
        <w:t xml:space="preserve">Automated smoke tests (a subset of 10_Test Plan, Section 8) run immediately after each production deployment and after the pilot cutover specifically. </w:t>
      </w:r>
    </w:p>
    <w:p>
      <w:pPr>
        <w:pStyle w:val="BodyText"/>
        <w:numPr>
          <w:ilvl w:val="0"/>
          <w:numId w:val="5"/>
        </w:numPr>
        <w:tabs>
          <w:tab w:val="clear" w:pos="1134"/>
          <w:tab w:val="left" w:pos="709" w:leader="none"/>
        </w:tabs>
        <w:bidi w:val="0"/>
        <w:spacing w:before="0" w:after="0"/>
        <w:ind w:hanging="283" w:left="709"/>
        <w:jc w:val="left"/>
        <w:rPr/>
      </w:pPr>
      <w:r>
        <w:rPr/>
        <w:t xml:space="preserve">Health-check dashboards (Prometheus/Grafana) and distributed traces (Jaeger) monitored actively for the first 48 hours after pilot cutover and each subsequent subsidiary onboarding. </w:t>
      </w:r>
    </w:p>
    <w:p>
      <w:pPr>
        <w:pStyle w:val="BodyText"/>
        <w:numPr>
          <w:ilvl w:val="0"/>
          <w:numId w:val="5"/>
        </w:numPr>
        <w:tabs>
          <w:tab w:val="clear" w:pos="1134"/>
          <w:tab w:val="left" w:pos="709" w:leader="none"/>
        </w:tabs>
        <w:bidi w:val="0"/>
        <w:ind w:hanging="283" w:left="709"/>
        <w:jc w:val="left"/>
        <w:rPr/>
      </w:pPr>
      <w:r>
        <w:rPr/>
        <w:t xml:space="preserve">Audit trail (FR-AUDIT-01) spot-checked to confirm events are flowing correctly from every service in the live environment, not only in staging. </w:t>
      </w:r>
    </w:p>
    <w:p>
      <w:pPr>
        <w:pStyle w:val="Heading2"/>
        <w:bidi w:val="0"/>
        <w:jc w:val="left"/>
        <w:rPr/>
      </w:pPr>
      <w:r>
        <w:rPr/>
        <w:t>11. Disaster Recovery</w:t>
      </w:r>
    </w:p>
    <w:p>
      <w:pPr>
        <w:pStyle w:val="BodyText"/>
        <w:bidi w:val="0"/>
        <w:jc w:val="left"/>
        <w:rPr/>
      </w:pPr>
      <w:r>
        <w:rPr/>
        <w:t>Backup and restoration are verified before go-live per 10_Test Plan, TC-027 (NFR-06/07). In production, each service's database is backed up daily (automated RDS snapshots); a documented restoration runbook, tested in Section 2's readiness gate, is kept current as each phase adds new services and databases.</w:t>
      </w:r>
    </w:p>
    <w:p>
      <w:pPr>
        <w:pStyle w:val="Heading2"/>
        <w:bidi w:val="0"/>
        <w:jc w:val="left"/>
        <w:rPr/>
      </w:pPr>
      <w:r>
        <w:rPr/>
        <w:t>12. Deployment Risks</w:t>
      </w:r>
    </w:p>
    <w:tbl>
      <w:tblPr>
        <w:tblW w:w="11339" w:type="dxa"/>
        <w:jc w:val="left"/>
        <w:tblInd w:w="28" w:type="dxa"/>
        <w:tblLayout w:type="fixed"/>
        <w:tblCellMar>
          <w:top w:w="28" w:type="dxa"/>
          <w:left w:w="28" w:type="dxa"/>
          <w:bottom w:w="28" w:type="dxa"/>
          <w:right w:w="28" w:type="dxa"/>
        </w:tblCellMar>
      </w:tblPr>
      <w:tblGrid>
        <w:gridCol w:w="5469"/>
        <w:gridCol w:w="5870"/>
      </w:tblGrid>
      <w:tr>
        <w:trPr/>
        <w:tc>
          <w:tcPr>
            <w:tcW w:w="5469" w:type="dxa"/>
            <w:tcBorders/>
            <w:vAlign w:val="center"/>
          </w:tcPr>
          <w:p>
            <w:pPr>
              <w:pStyle w:val="TableHeading"/>
              <w:suppressLineNumbers/>
              <w:shd w:fill="1F3864" w:val="clear"/>
              <w:bidi w:val="0"/>
              <w:spacing w:before="0" w:after="283"/>
              <w:jc w:val="left"/>
              <w:rPr/>
            </w:pPr>
            <w:r>
              <w:rPr/>
              <w:t>Risk</w:t>
            </w:r>
          </w:p>
        </w:tc>
        <w:tc>
          <w:tcPr>
            <w:tcW w:w="5870" w:type="dxa"/>
            <w:tcBorders/>
            <w:vAlign w:val="center"/>
          </w:tcPr>
          <w:p>
            <w:pPr>
              <w:pStyle w:val="TableHeading"/>
              <w:suppressLineNumbers/>
              <w:shd w:fill="1F3864" w:val="clear"/>
              <w:bidi w:val="0"/>
              <w:spacing w:before="0" w:after="283"/>
              <w:jc w:val="left"/>
              <w:rPr/>
            </w:pPr>
            <w:r>
              <w:rPr/>
              <w:t>Mitigation</w:t>
            </w:r>
          </w:p>
        </w:tc>
      </w:tr>
      <w:tr>
        <w:trPr/>
        <w:tc>
          <w:tcPr>
            <w:tcW w:w="5469" w:type="dxa"/>
            <w:tcBorders/>
            <w:vAlign w:val="center"/>
          </w:tcPr>
          <w:p>
            <w:pPr>
              <w:pStyle w:val="TableContents"/>
              <w:bidi w:val="0"/>
              <w:spacing w:before="0" w:after="283"/>
              <w:jc w:val="left"/>
              <w:rPr/>
            </w:pPr>
            <w:r>
              <w:rPr/>
              <w:t>Production infrastructure decisions (region, Kafka hosting, domain) are still open items</w:t>
            </w:r>
          </w:p>
        </w:tc>
        <w:tc>
          <w:tcPr>
            <w:tcW w:w="5870" w:type="dxa"/>
            <w:tcBorders/>
            <w:vAlign w:val="center"/>
          </w:tcPr>
          <w:p>
            <w:pPr>
              <w:pStyle w:val="TableContents"/>
              <w:bidi w:val="0"/>
              <w:spacing w:before="0" w:after="283"/>
              <w:jc w:val="left"/>
              <w:rPr/>
            </w:pPr>
            <w:r>
              <w:rPr/>
              <w:t>Resolve via vendor quotations (Section 3) before Stage 1 of the go-live rollout begins</w:t>
            </w:r>
          </w:p>
        </w:tc>
      </w:tr>
      <w:tr>
        <w:trPr/>
        <w:tc>
          <w:tcPr>
            <w:tcW w:w="5469" w:type="dxa"/>
            <w:tcBorders/>
            <w:vAlign w:val="center"/>
          </w:tcPr>
          <w:p>
            <w:pPr>
              <w:pStyle w:val="TableContents"/>
              <w:bidi w:val="0"/>
              <w:spacing w:before="0" w:after="283"/>
              <w:jc w:val="left"/>
              <w:rPr/>
            </w:pPr>
            <w:r>
              <w:rPr/>
              <w:t>Pilot subsidiary experiences a Critical defect after go-live</w:t>
            </w:r>
          </w:p>
        </w:tc>
        <w:tc>
          <w:tcPr>
            <w:tcW w:w="5870" w:type="dxa"/>
            <w:tcBorders/>
            <w:vAlign w:val="center"/>
          </w:tcPr>
          <w:p>
            <w:pPr>
              <w:pStyle w:val="TableContents"/>
              <w:bidi w:val="0"/>
              <w:spacing w:before="0" w:after="283"/>
              <w:jc w:val="left"/>
              <w:rPr/>
            </w:pPr>
            <w:r>
              <w:rPr/>
              <w:t>Rollback procedures (Section 6) are rehearsed, not just documented, before Stage 2 begins</w:t>
            </w:r>
          </w:p>
        </w:tc>
      </w:tr>
      <w:tr>
        <w:trPr/>
        <w:tc>
          <w:tcPr>
            <w:tcW w:w="5469" w:type="dxa"/>
            <w:tcBorders/>
            <w:vAlign w:val="center"/>
          </w:tcPr>
          <w:p>
            <w:pPr>
              <w:pStyle w:val="TableContents"/>
              <w:bidi w:val="0"/>
              <w:spacing w:before="0" w:after="283"/>
              <w:jc w:val="left"/>
              <w:rPr/>
            </w:pPr>
            <w:r>
              <w:rPr/>
              <w:t>Data migration errors affecting opening balances</w:t>
            </w:r>
          </w:p>
        </w:tc>
        <w:tc>
          <w:tcPr>
            <w:tcW w:w="5870" w:type="dxa"/>
            <w:tcBorders/>
            <w:vAlign w:val="center"/>
          </w:tcPr>
          <w:p>
            <w:pPr>
              <w:pStyle w:val="TableContents"/>
              <w:bidi w:val="0"/>
              <w:spacing w:before="0" w:after="283"/>
              <w:jc w:val="left"/>
              <w:rPr/>
            </w:pPr>
            <w:r>
              <w:rPr/>
              <w:t>Per-company validation and sign-off (Section 7) before each company's production import</w:t>
            </w:r>
          </w:p>
        </w:tc>
      </w:tr>
      <w:tr>
        <w:trPr/>
        <w:tc>
          <w:tcPr>
            <w:tcW w:w="5469" w:type="dxa"/>
            <w:tcBorders/>
            <w:vAlign w:val="center"/>
          </w:tcPr>
          <w:p>
            <w:pPr>
              <w:pStyle w:val="TableContents"/>
              <w:bidi w:val="0"/>
              <w:spacing w:before="0" w:after="283"/>
              <w:jc w:val="left"/>
              <w:rPr/>
            </w:pPr>
            <w:r>
              <w:rPr/>
              <w:t>Governance/signatory gap delays production infrastructure spend approval</w:t>
            </w:r>
          </w:p>
        </w:tc>
        <w:tc>
          <w:tcPr>
            <w:tcW w:w="5870" w:type="dxa"/>
            <w:tcBorders/>
            <w:vAlign w:val="center"/>
          </w:tcPr>
          <w:p>
            <w:pPr>
              <w:pStyle w:val="TableContents"/>
              <w:bidi w:val="0"/>
              <w:spacing w:before="0" w:after="283"/>
              <w:jc w:val="left"/>
              <w:rPr/>
            </w:pPr>
            <w:r>
              <w:rPr/>
              <w:t>Board resolves the Secretary/signatory position (Section 2) well ahead of Stage 1, not during it</w:t>
            </w:r>
          </w:p>
        </w:tc>
      </w:tr>
    </w:tbl>
    <w:p>
      <w:pPr>
        <w:pStyle w:val="Heading2"/>
        <w:bidi w:val="0"/>
        <w:jc w:val="left"/>
        <w:rPr/>
      </w:pPr>
      <w:r>
        <w:rPr/>
        <w:t>13. Approval</w:t>
      </w:r>
    </w:p>
    <w:p>
      <w:pPr>
        <w:pStyle w:val="BodyText"/>
        <w:bidi w:val="0"/>
        <w:jc w:val="left"/>
        <w:rPr/>
      </w:pPr>
      <w:r>
        <w:rPr/>
        <w:t>Submitted for review by the engaged development team/technology partner as the Phase 1 deployment baseline, and for Board awareness of the go-live rollout sequence and its dependencies.</w:t>
      </w:r>
    </w:p>
    <w:p>
      <w:pPr>
        <w:pStyle w:val="BodyText"/>
        <w:bidi w:val="0"/>
        <w:spacing w:before="150" w:after="283"/>
        <w:ind w:hanging="0" w:left="0" w:right="0"/>
        <w:jc w:val="left"/>
        <w:rPr>
          <w:b/>
        </w:rPr>
      </w:pPr>
      <w:r>
        <w:rPr>
          <w:b/>
        </w:rPr>
        <w:t>Obeke Godfrey</w:t>
      </w:r>
    </w:p>
    <w:p>
      <w:pPr>
        <w:pStyle w:val="BodyText"/>
        <w:bidi w:val="0"/>
        <w:spacing w:before="600" w:after="283"/>
        <w:ind w:hanging="0" w:left="0" w:right="0"/>
        <w:jc w:val="left"/>
        <w:rPr>
          <w:sz w:val="21"/>
          <w:bdr w:val="single" w:sz="2" w:space="3" w:color="333333"/>
        </w:rPr>
      </w:pPr>
      <w:r>
        <w:rPr>
          <w:sz w:val="21"/>
          <w:bdr w:val="single" w:sz="2" w:space="3" w:color="333333"/>
        </w:rPr>
        <w:t>Director — Prepared by — Signature &amp; Date</w:t>
      </w:r>
    </w:p>
    <w:p>
      <w:pPr>
        <w:pStyle w:val="BodyText"/>
        <w:bidi w:val="0"/>
        <w:spacing w:before="150" w:after="283"/>
        <w:ind w:hanging="0" w:left="0" w:right="0"/>
        <w:jc w:val="left"/>
        <w:rPr>
          <w:b/>
        </w:rPr>
      </w:pPr>
      <w:r>
        <w:rPr>
          <w:b/>
        </w:rPr>
        <w:t>Okurut Mathias</w:t>
      </w:r>
    </w:p>
    <w:p>
      <w:pPr>
        <w:pStyle w:val="BodyText"/>
        <w:bidi w:val="0"/>
        <w:spacing w:before="600" w:after="283"/>
        <w:ind w:hanging="0" w:left="0" w:right="0"/>
        <w:jc w:val="left"/>
        <w:rPr>
          <w:sz w:val="21"/>
          <w:bdr w:val="single" w:sz="2" w:space="3" w:color="333333"/>
        </w:rPr>
      </w:pPr>
      <w:r>
        <w:rPr>
          <w:sz w:val="21"/>
          <w:bdr w:val="single" w:sz="2" w:space="3" w:color="333333"/>
        </w:rPr>
        <w:t>Managing Director — Reviewed/Approved by — Signature &amp; Date</w:t>
      </w:r>
    </w:p>
    <w:p>
      <w:pPr>
        <w:pStyle w:val="BodyText"/>
        <w:bidi w:val="0"/>
        <w:spacing w:before="450" w:after="283"/>
        <w:ind w:hanging="0" w:left="0" w:right="0"/>
        <w:jc w:val="left"/>
        <w:rPr>
          <w:color w:val="666666"/>
          <w:sz w:val="18"/>
          <w:bdr w:val="single" w:sz="2" w:space="5" w:color="CCCCCC"/>
        </w:rPr>
      </w:pPr>
      <w:r>
        <w:rPr>
          <w:color w:val="666666"/>
          <w:sz w:val="18"/>
          <w:bdr w:val="single" w:sz="2" w:space="5" w:color="CCCCCC"/>
        </w:rPr>
        <w:t xml:space="preserve">Prepared with reference to: Multi Holdings Limited Software Development Procedures and Implementation Blueprint (Phase 17 Production Deployment, Phase 20 Go-Live Strategy); 07_System Design Document (v2.0); 08_Database Design Document (Section 14 migration order); 10_Test Plan (Section 10 exit checklist); 03_Feasibility Study (Section 4.4 governance readiness); 01_Project Proposal (Section 8 timeline, Section 9.3 quotations pending). </w:t>
      </w:r>
    </w:p>
    <w:p>
      <w:pPr>
        <w:pStyle w:val="Heading1"/>
      </w:pPr>
      <w:r>
        <w:t>Implementation Status Update (18 August 2026)</w:t>
      </w:r>
    </w:p>
    <w:p>
      <w:r>
        <w:t>None of this plan's production deployment process applies yet — the Section 2 readiness gate (all test cases passing, UAT sign-off, security testing complete) is nowhere close to met. What exists is a local development environment only: Docker Compose running PostgreSQL and Redis (Redis provisioned but not yet used by the application), the NestJS backend run directly with `node dist/main.js`, and the Vite frontend dev server — none of Section 3's AWS ECS/RDS/Kafka/API Gateway/observability infrastructure exists.</w:t>
      </w:r>
    </w:p>
    <w:p>
      <w:r>
        <w:t>Section 4's migration strategy (Prisma migrations, version-controlled, applied via `prisma migrate`) is followed in spirit for the two services that exist. Section 7's data migration order (Organization first, then Identity) is reflected in the seed script, using synthetic demo data, not real Group records.</w:t>
      </w:r>
    </w:p>
    <w:p>
      <w:r>
        <w:t>Architecture gap — please read before relying on this update: the Group's own document set (07_System Design Document v2.0, ADR-02/03/04/05) records that Phase 1 was directed to be built as a full microservices architecture — eight independently deployable services plus an API Gateway, Kafka event streaming, a database-per-service pattern, and a full observability stack — superseding an earlier modular-monolith recommendation (03_Feasibility Study, Section 3.1.1). What is described below is that earlier, superseded monolith approach: a single NestJS application against one PostgreSQL database, with no API Gateway, no Kafka, no per-service databases, and no observability stack. It is offered as a fast proof-of-concept that validates the Sprint 1+2 business logic and data model end-to-end, not as a conforming implementation of the currently-approved architecture. Decomposing it into true microservices remains substantial, unstarted work. Code lives in mbms/, alongside this documentation set (docx/) and the Administrator/Customer mockups (screenshots/). See mbms/README.md for exact run instructions and seeded demo credentials.</w:t>
      </w:r>
    </w:p>
    <w:p>
      <w:pPr>
        <w:pStyle w:val="Heading1"/>
      </w:pPr>
      <w:r>
        <w:t>Implementation Status Update 2 (18 August 2026)</w:t>
      </w:r>
    </w:p>
    <w:p>
      <w:r>
        <w:t>Still entirely inapplicable — no production deployment has occurred, and Employees/Accounting were added to the same local development environment (Docker Compose Postgres + Redis, `node dist/main.js`, Vite dev server) described in the previous update, not to any new infrastructure.</w:t>
      </w:r>
    </w:p>
    <w:p>
      <w:r>
        <w:t>Architecture note, unchanged from the previous update: this remains the superseded v1.0 modular-monolith approach — one NestJS application, one PostgreSQL database, no API Gateway, no Kafka, no per-service databases, no observability stack — not the microservices architecture 07_System Design Document (v2.0) records as the Group's actual direction. Employees and Accounting were added as two more modules of that same application, not as new independent services. See mbms/README.md for exact run instructions and seeded demo credentials.</w:t>
      </w:r>
    </w:p>
    <w:p>
      <w:pPr>
        <w:pStyle w:val="Heading1"/>
      </w:pPr>
      <w:r>
        <w:t>Implementation Status Update 3 (18 August 2026)</w:t>
      </w:r>
    </w:p>
    <w:p>
      <w:r>
        <w:t>Still entirely inapplicable — Customers and Suppliers were added to the same local development environment described in the previous updates, not to any new infrastructure. See mbms/README.md for exact run instructions and seeded demo credentials.</w:t>
      </w:r>
    </w:p>
    <w:p>
      <w:pPr>
        <w:pStyle w:val="Heading1"/>
      </w:pPr>
      <w:r>
        <w:t>Implementation Status Update 4 (18 August 2026)</w:t>
      </w:r>
    </w:p>
    <w:p>
      <w:r>
        <w:t>Still entirely inapplicable — Products was added to the same local development environment described in every previous update, not to any new infrastructure. See mbms/README.md for exact run instructions and seeded demo credentials.</w:t>
      </w:r>
    </w:p>
    <w:p>
      <w:pPr>
        <w:pStyle w:val="Heading1"/>
      </w:pPr>
      <w:r>
        <w:t>Implementation Status Update 5 (18 August 2026)</w:t>
      </w:r>
    </w:p>
    <w:p>
      <w:r>
        <w:t>Still entirely inapplicable — the Audit Trail was added to the same local development environment described in every previous update, not to any new infrastructure. See mbms/README.md for exact run instructions and seeded demo credentials.</w:t>
      </w:r>
    </w:p>
    <w:p>
      <w:pPr>
        <w:pStyle w:val="Heading1"/>
      </w:pPr>
      <w:r>
        <w:t>Implementation Status Update 6 (18 August 2026)</w:t>
      </w:r>
    </w:p>
    <w:p>
      <w:r>
        <w:t>Still entirely inapplicable — local development only, no deployment has occurred. One line worth adding when deployment planning does start: backend/.env's new PASSWORD_MIN_LENGTH variable needs a real value set per environment, not left at its local-dev default of 8, if this document's eventual environment configuration table wants password policy to actually be "configurable" per FR-AUTH-04's own wording rather than configurable in principle. See mbms/README.md, "Sprint 1 verification pass", for the full detail and verification method.</w:t>
      </w:r>
    </w:p>
    <w:p>
      <w:pPr>
        <w:pStyle w:val="Heading1"/>
      </w:pPr>
      <w:r>
        <w:t>Implementation Status Update 7 (18 August 2026)</w:t>
      </w:r>
    </w:p>
    <w:p>
      <w:r>
        <w:t>Still entirely inapplicable — local development only. See mbms/README.md, "Sprint 2 verification pass", for the full detail and verification method.</w:t>
      </w:r>
    </w:p>
    <w:p>
      <w:pPr>
        <w:pStyle w:val="Heading1"/>
      </w:pPr>
      <w:r>
        <w:t>Implementation Status Update 8 (18 August 2026)</w:t>
      </w:r>
    </w:p>
    <w:p>
      <w:r>
        <w:t>Still entirely inapplicable — local development only. See mbms/README.md, "Sprint 3 verification pass", for the full detail and verification method.</w:t>
      </w:r>
    </w:p>
    <w:p>
      <w:pPr>
        <w:pStyle w:val="Heading1"/>
      </w:pPr>
      <w:r>
        <w:t>Implementation Status Update 9 (18 August 2026)</w:t>
      </w:r>
    </w:p>
    <w:p>
      <w:r>
        <w:t>Still entirely inapplicable — local development only. See mbms/README.md, "Sprint 4 verification pass", for the full detail and verification method.</w:t>
      </w:r>
    </w:p>
    <w:p>
      <w:pPr>
        <w:pStyle w:val="Heading1"/>
      </w:pPr>
      <w:r>
        <w:t>Implementation Status Update 10 (18 August 2026)</w:t>
      </w:r>
    </w:p>
    <w:p>
      <w:r>
        <w:t>Still entirely inapplicable — local development only. See mbms/README.md, "Sprint 5 verification pass", for the full detail and verification method.</w:t>
      </w:r>
    </w:p>
    <w:p>
      <w:pPr>
        <w:pStyle w:val="Heading1"/>
      </w:pPr>
      <w:r>
        <w:t>Implementation Status Update 11 (18 August 2026)</w:t>
      </w:r>
    </w:p>
    <w:p>
      <w:r>
        <w:t>Still entirely inapplicable — local development only. Scope note: the request that opened this sprint named "Procurement, purchase orders and goods received" — none of which appear anywhere in 04_Software Requirements Specification's Phase 1 scope (FR-SUPP-02's own deferred note explicitly pushes purchase requisitions/orders to Phase 2), and none of which match what 17_Development Plan actually calls Sprint 6 ("Accounting completion, Dashboard, Audit Trail"). Asked how to handle the mismatch, the choice was to re-verify the actual Sprint 6 instead, the same method as Sprints 1-5, rather than starting new, unscoped Phase 2 work. No Procurement/PO/GRN code was added. See mbms/README.md, "Sprint 6 verification pass", for the full detail and verification method.</w:t>
      </w:r>
    </w:p>
    <w:p>
      <w:pPr>
        <w:pStyle w:val="Heading1"/>
      </w:pPr>
      <w:r>
        <w:t>Implementation Status Update 12 (18 August 2026)</w:t>
      </w:r>
    </w:p>
    <w:p>
      <w:r>
        <w:t>Still entirely inapplicable — local development only, so NFR-08 (TLS) could not be tested and remains a deployment-time concern. Scope note: the request that opened this sprint named "Sales, invoices and receipts" — explicitly Phase 2 in 04_Software Requirements Specification's own phasing text, and with no existing code to verify, unlike Sprint 6 which had real code under a mismatched label. The actual Sprint 7 per 17_Development Plan is "Contract, system and security testing." Asked how to handle the mismatch, the choice was to run that instead. No Sales/Invoice/Receipt code was added. See mbms/README.md, "Sprint 7: security testing pass", for the full detail and verification method.</w:t>
      </w:r>
    </w:p>
    <w:p>
      <w:pPr>
        <w:pStyle w:val="Heading1"/>
      </w:pPr>
      <w:r>
        <w:t>Implementation Status Update 13 (18 August 2026)</w:t>
      </w:r>
    </w:p>
    <w:p>
      <w:r>
        <w:t>Still entirely inapplicable — local development only. Scope note: the request that opened this sprint named "Inventory" — explicitly Phase 2 in 04_Software Requirements Specification's own phasing text, with no existing code to verify. The actual Sprint 8 per 17_Development Plan is "Performance testing, Alpha testing, UAT begins." Asked how to handle the mismatch, the choice was to run that instead. No Inventory code was added. See mbms/README.md, "Sprint 8: performance, Alpha and UAT pass", for the full detail and verification method.</w:t>
      </w:r>
    </w:p>
    <w:p>
      <w:pPr>
        <w:pStyle w:val="Heading1"/>
      </w:pPr>
      <w:r>
        <w:t>Implementation Status Update 14 (18 August 2026)</w:t>
      </w:r>
    </w:p>
    <w:p>
      <w:r>
        <w:t>Scope note: Expense Management (Phase 2) was built this sprint — the first sprint since Sprint 5 where the request needed no redirect back to an already-complete Phase 1 deployment step.</w:t>
      </w:r>
    </w:p>
    <w:p>
      <w:r>
        <w:t>No deployment-process change: the Expense Service is one more module and one more Prisma migration (sprint9_expense_management) in the same single NestJS application and single PostgreSQL database this plan's earlier updates already describe deploying as one unit. The same gaps already flagged against this plan (no API Gateway, no per-service database, no blue/green or canary process for this monolith) apply identically to this new module — nothing about Expenses changes this plan's deployment architecture.</w:t>
      </w:r>
    </w:p>
    <w:p>
      <w:r>
        <w:t>See mbms/README.md, “Sprint 9”, for the full detail and verification method.</w:t>
      </w:r>
    </w:p>
    <w:p>
      <w:pPr>
        <w:pStyle w:val="Heading1"/>
      </w:pPr>
      <w:r>
        <w:t>Implementation Status Update 15 (18 August 2026)</w:t>
      </w:r>
    </w:p>
    <w:p>
      <w:r>
        <w:t>Scope note: Full Accounting (Sprint 10 per Multi_Holdings_Limited_Software_Development_Procedures.docx's own sprint table) was built this sprint — no redirect needed, the request matched real, still-open work directly.</w:t>
      </w:r>
    </w:p>
    <w:p>
      <w:r>
        <w:t>No deployment-process change: recurring entries and the two new report endpoints are more code in the same single NestJS application and one PostgreSQL database this plan's earlier updates already describe deploying as one unit, via one more Prisma migration (sprint10_full_accounting). One operational note worth recording here specifically: this sprint's local dev environment hit a `nest start --watch` race (dist/main.js required before it finished being written) that plain `npx tsc &amp;&amp; node dist/main.js` avoided — relevant if this plan's eventual CI/CD pipeline scripts a dev-mode watch process rather than a build-then-run step.</w:t>
      </w:r>
    </w:p>
    <w:p>
      <w:r>
        <w:t>See mbms/README.md, “Sprint 10”, for the full detail and verification method.</w:t>
      </w:r>
    </w:p>
    <w:p>
      <w:pPr>
        <w:pStyle w:val="Heading1"/>
      </w:pPr>
      <w:r>
        <w:t>Implementation Status Update 16 (18 August 2026)</w:t>
      </w:r>
    </w:p>
    <w:p>
      <w:r>
        <w:t>Scope note: Asset Management (Sprint 11) built — no redirect needed.</w:t>
      </w:r>
    </w:p>
    <w:p>
      <w:r>
        <w:t>No deployment-process change: more code and one more Prisma migration (sprint11_asset_management) in the same single application/database this plan already describes deploying as one unit.</w:t>
      </w:r>
    </w:p>
    <w:p>
      <w:r>
        <w:t>See mbms/README.md, “Sprint 11”, for the full detail and verification method.</w:t>
      </w:r>
    </w:p>
    <w:p>
      <w:pPr>
        <w:pStyle w:val="Heading1"/>
      </w:pPr>
      <w:r>
        <w:t>Implementation Status Update 17 (18 August 2026)</w:t>
      </w:r>
    </w:p>
    <w:p>
      <w:r>
        <w:t>Scope note: Project Management (Sprint 12) built — no redirect needed.</w:t>
      </w:r>
    </w:p>
    <w:p>
      <w:r>
        <w:t>No deployment-process change: more code and one more Prisma migration (sprint12_project_management) in the same single application/database this plan already describes deploying as one unit.</w:t>
      </w:r>
    </w:p>
    <w:p>
      <w:r>
        <w:t>See mbms/README.md, “Sprint 12”, for the full detail and verification method.</w:t>
      </w:r>
    </w:p>
    <w:p>
      <w:pPr>
        <w:pStyle w:val="Heading1"/>
      </w:pPr>
      <w:r>
        <w:t>Implementation Status Update 18 (18 August 2026)</w:t>
      </w:r>
    </w:p>
    <w:p>
      <w:r>
        <w:t>Scope note: Reports (Sprint 13) built — no redirect needed. No new migration this sprint (Reports reads existing tables only).</w:t>
      </w:r>
    </w:p>
    <w:p>
      <w:r>
        <w:t>One new runtime dependency was introduced: pdfkit, for PDF export — the first new dependency any sprint in this project has added to package.json. No deployment-process change otherwise.</w:t>
      </w:r>
    </w:p>
    <w:p>
      <w:r>
        <w:t>See mbms/README.md, “Sprint 13”, for the full detail and verification method.</w:t>
      </w:r>
    </w:p>
    <w:p>
      <w:pPr>
        <w:pStyle w:val="Heading1"/>
      </w:pPr>
      <w:r>
        <w:t>Implementation Status Update 19 (18 August 2026)</w:t>
      </w:r>
    </w:p>
    <w:p>
      <w:r>
        <w:t>Scope note: Dashboard/Notifications/Audit Trail (Sprint 14) built — no redirect needed, the last sprint in Multi_Holdings_Limited_Software_Development_Procedures.docx's own 14-sprint order.</w:t>
      </w:r>
    </w:p>
    <w:p>
      <w:r>
        <w:t>No deployment-process change: one more Prisma migration (sprint14_notifications) in the same single application/database this plan already describes deploying as one unit. No new runtime dependency was needed this sprint (unlike Sprint 13's pdfkit).</w:t>
      </w:r>
    </w:p>
    <w:p>
      <w:r>
        <w:t>See mbms/README.md, “Sprint 14”, for the full detail and verification method.</w:t>
      </w:r>
    </w:p>
    <w:p>
      <w:pPr>
        <w:pStyle w:val="Heading1"/>
      </w:pPr>
      <w:r>
        <w:t>Implementation Status Update 20 (19 August 2026)</w:t>
      </w:r>
    </w:p>
    <w:p>
      <w:r>
        <w:t>Scope note: policies, inter-company transactions, cross-company asset transfer and consolidated comparison reporting built — no deployment-process change.</w:t>
      </w:r>
    </w:p>
    <w:p>
      <w:r>
        <w:t>One more Prisma migration (company_holdings_policies_intercompany) in the same single application/database this plan already describes deploying as one unit. No new runtime dependency was needed this pass (unlike Sprint 13's pdfkit).</w:t>
      </w:r>
    </w:p>
    <w:p>
      <w:r>
        <w:t>See mbms/README.md, “Company and Holdings Management,” for the full detail and verification method.</w:t>
      </w:r>
    </w:p>
    <w:p>
      <w:pPr>
        <w:pStyle w:val="Heading1"/>
      </w:pPr>
      <w:r>
        <w:t>Implementation Status Update 21 (19 August 2026) — Dashboard Deepening</w:t>
      </w:r>
    </w:p>
    <w:p>
      <w:r>
        <w:t>Scope note: this update was requested directly against a full Holding Company / Subsidiary Dashboard KPI list (companies, branches, employees, customers, suppliers, assets, revenue, expenses, net profit, cash position, bank balances, outstanding receivables/payables, current projects, pending approvals, outstanding loans, inventory value, sales performance, procurement performance, employee statistics, company performance comparison, four monthly charts, and financial/operational alerts), not a numbered sprint from Multi_Holdings_Limited_Software_Development_Procedures.docx's Section 12 table (already complete except Sprints 6-8) or the request from earlier the same day (Company and Holdings Management Deepening, Update 20).</w:t>
      </w:r>
    </w:p>
    <w:p>
      <w:r>
        <w:t>Built: a deepened Holding Company Dashboard (group-wide financial position, four monthly charts, financial/operational alerts, employee statistics, company performance comparison, outstanding inter-company loans) and a deepened Subsidiary Dashboard (the same financial/chart blocks, scoped and permission-gated per company). Inventory value, sales performance and procurement performance are honestly reported as not available — no such module exists in this codebase.</w:t>
      </w:r>
    </w:p>
    <w:p>
      <w:r>
        <w:t>See mbms/README.md, "Dashboard Deepening — Holding Company &amp; Subsidiary KPI Set", for the full detail and verification method.</w:t>
      </w:r>
    </w:p>
    <w:p>
      <w:pPr>
        <w:pStyle w:val="Heading1"/>
      </w:pPr>
      <w:r>
        <w:t>Implementation Status Update 22 (19 August 2026) — RBAC Completion</w:t>
      </w:r>
    </w:p>
    <w:p>
      <w:r>
        <w:t>Scope note: this update was requested directly against a full RBAC feature list — a User Management capability bullet list (create/edit/activate-deactivate/reset password/change password/lock accounts/manage profiles/assign companies-branches-departments/assign roles/assign permissions/restrict access to modules, companies, branches, financial information and sensitive documents) and the 23-role catalogue (Super Administrator through Read-only User) — not a numbered sprint or either of the two dashboard/company-holdings passes from earlier the same day.</w:t>
      </w:r>
    </w:p>
    <w:p>
      <w:r>
        <w:t>Built: all 23 catalogue roles are now permissioned (14 of them — Chief Financial Officer, Accountant, Operations Manager, Project Manager, Inventory Manager, Warehouse Manager, Legal Officer, Customer Service Officer, Employee, External Auditor, Board Member, Investor, Read-only User — existed as role rows since Sprint 1 but had never been given a single permission), plus a new self-service POST /identity/users/me/change-password endpoint (distinct from the existing admin-initiated reset and the unauthenticated forgot-password flow). No new permission or schema migration was needed for the role work; the new endpoint reuses the existing IsStrongPassword validator and audit pattern.</w:t>
      </w:r>
    </w:p>
    <w:p>
      <w:r>
        <w:t>See mbms/README.md, "RBAC Completion — Full Role Catalogue Permissioned, Self-Service Password Change Added", for the full detail and verification method.</w:t>
      </w:r>
    </w:p>
    <w:p>
      <w:pPr>
        <w:pStyle w:val="Heading1"/>
      </w:pPr>
      <w:r>
        <w:t>Implementation Status Update 23 (19 August 2026) — HR Module Deepening</w:t>
      </w:r>
    </w:p>
    <w:p>
      <w:r>
        <w:t>Scope note: this update was requested directly against a full HR feature list — Employee Management, Recruitment, Attendance, Leave Management and Performance Management — opening with "The HR module should manage employees across all companies," not a numbered sprint or either pass earlier the same day.</w:t>
      </w:r>
    </w:p>
    <w:p>
      <w:r>
        <w:t>Built: Employee Management was re-verified (one gap closed — a real employment-history table, plus a document-reference field). Four entirely new modules were built: Recruitment (vacancy approval workflow through application/interview/offer, ending in onboarding into a real employee record), Attendance (self-service clock-in/out against an assigned shift, or HR-recorded for employees without a login), Leave (five leave types, balance-checked approval), and Performance (review cycles, objectives/KPIs, self- and manager-assessment). Migration: hr_module_recruitment_attendance_leave_performance (eleven new tables, two new employees columns). Ten new permissions; no existing permission was changed.</w:t>
      </w:r>
    </w:p>
    <w:p>
      <w:r>
        <w:t>Two real gaps were found and fixed during this pass: a self-service scope-gating bug in Performance (an ordinary employee reading or submitting their own review could be incorrectly blocked, since the original code path required company-wide scope even for pure self-access), and a demo-reachability gap where the HR Manager persona's single-company scope meant no seeded user could reach three of the four new modules' management actions for one subsidiary at all.</w:t>
      </w:r>
    </w:p>
    <w:p>
      <w:r>
        <w:t>See mbms/README.md, "HR Module Deepening — Recruitment, Attendance, Leave, Performance", for the full detail and verification method.</w:t>
      </w:r>
    </w:p>
    <w:p>
      <w:pPr>
        <w:pStyle w:val="Heading1"/>
      </w:pPr>
      <w:r>
        <w:t>Implementation Status Update 24 (19 August 2026) — Customer Storefront, Responsiveness Pass and Landing Page</w:t>
      </w:r>
    </w:p>
    <w:p>
      <w:r>
        <w:t>Scope note: this entry bundles three related requests handled back-to-back in one continuous session, the same class of single-entry bundling this document set already uses when one pass covers several closely related asks — build the actual customer-facing storefront screenshots/Customer/'s ten mockups had always implied but never had running code behind (explicitly confirmed as new scope, not something already there to start); make that storefront responsive once it shipped without a mobile pass; and develop a public landing page with a first-visit disclaimer for a visitor who hasn't signed in yet.</w:t>
      </w:r>
    </w:p>
    <w:p>
      <w:r>
        <w:t>Built: a real Sales/Invoicing/Payments module (Order, OrderItem, Invoice, Payment, PaymentAllocation — an order posts a real balanced journal entry at creation and is rejected if it would exceed the customer's credit limit; cancellation reverses the entry rather than deleting anything) and a new Support Ticketing module (SupportTicket, TicketMessage), both behind a second, structurally separate authentication stack (a customer signs in with an account number or email, never a staff User record). A second web application, mbms/storefront/, implements all ten Customer mockup screens plus two with no source mockup (a Landing page and a first-visit disclaimer modal) against this real backend, not a mockup. Minimal staff-side screens (Orders fulfillment, Support Ticket reply) were added to the existing Admin app so a customer's order or ticket does not dead-end. The storefront was then made responsive (a fluid header/nav and scrollable tables with no fixed-width overflow from 320px to 1440px) and given the public landing page and disclaimer at "/", replacing the previous hard redirect-to-login for a signed-out visitor. Migration: sprint16_customer_storefront. Four new permissions (sales.order.manage/viewAll, support.ticket.manage/viewAll); no existing permission was changed. mbms/storefront/ is a second Vite/React app, deployed and run independently of the existing Admin app (dev port 5174 vs. 5173, same backend at 3001), with two new environment variables on the backend (JWT_CUSTOMER_ACCESS_SECRET, JWT_CUSTOMER_ACCESS_EXPIRES_IN) alongside the existing staff JWT_ACCESS_SECRET.</w:t>
      </w:r>
    </w:p>
    <w:p>
      <w:r>
        <w:t>Three real defects were found and fixed across these passes, not before them: a seed-script idempotency bug that doubled a demo customer's outstanding balance on a second seed run (order/invoice numbers were derived from a live row count rather than a fixed literal, unlike every other seed in this project); a frontend permission-gate mismatch where the new Support Tickets admin screen's hasRole() check didn't include a role the backend had actually granted the permission to, hiding a working reply form; and a CSS specificity leak where a rule added to fix one header's responsive wrap silently reordered an unrelated header on the new Landing page, caught only by inspecting a screenshot, not by any automated check.</w:t>
      </w:r>
    </w:p>
    <w:p>
      <w:r>
        <w:t>See mbms/README.md, "Sprint 16: Customer Storefront", "Storefront responsiveness pass" and "Landing page and disclaimer added", for the full detail and verification method.</w:t>
      </w:r>
    </w:p>
    <w:p>
      <w:pPr>
        <w:pStyle w:val="Heading1"/>
      </w:pPr>
      <w:r>
        <w:t>Implementation Status Update 25 (19 August 2026) — Financial Module Deepening</w:t>
      </w:r>
    </w:p>
    <w:p>
      <w:r>
        <w:t>Scope note: this update was requested directly against a full Financial Module feature list — General Ledger gaps, Accounts Receivable, Accounts Payable, and five new Financial Statements — opening with "The financial module should be one of the core components of the system." Not a numbered sprint or any of the three passes earlier the same day.</w:t>
      </w:r>
    </w:p>
    <w:p>
      <w:r>
        <w:t>Built: closing entries (a real journal entry zeroing revenue/expense into Retained Earnings on period close), adjusting-entry tagging, account reconciliation, and budgets on the General Ledger side; a new Accounts Payable subledger (supplier invoices with a draft-approve-pay workflow, payments, credit notes, aging, statements); Accounts Receivable deepened with credit/debit notes and staff-facing aging/statements on top of the existing Order/Invoice/Payment system (see the correction note below); and four new report endpoints — Cash Flow Statement, Statement of Changes in Equity, Financial Ratios, Budget vs Actual, and a Management Accounts bundle.</w:t>
      </w:r>
    </w:p>
    <w:p>
      <w:r>
        <w:t>A real duplication was found and corrected before any service code shipped: this pass's first draft of Accounts Receivable defined its own customer invoice/payment tables, and a routine database check found a complete Order-to-Invoice-to-Payment system already built by a different, concurrently-running session (the "Customer Storefront" work also reflected in this docx set's own Update 24 entries). The duplicate tables were deleted before any code referenced them; Accounts Receivable was built against the real existing models instead. This is the second time this project has had two sessions modifying the same live database concurrently the same day — the migration tracking table needed re-baselining three times as a result, a recovered environment issue, not data loss.</w:t>
      </w:r>
    </w:p>
    <w:p>
      <w:r>
        <w:t>See mbms/README.md, "Financial Module Deepening", for the full detail and verification method.</w:t>
      </w:r>
    </w:p>
    <w:p>
      <w:pPr>
        <w:pStyle w:val="Heading1"/>
      </w:pPr>
      <w:r>
        <w:t>Implementation Status Update 26 (27 August 2026) — Admin Navigation Redesign</w:t>
      </w:r>
    </w:p>
    <w:p>
      <w:pPr>
        <w:pStyle w:val="BodyText"/>
      </w:pPr>
      <w:r>
        <w:t>On 27 August 2026 the staff Admin application's navigation was reorganised from a single flat list of 21 links into four collapsible, self-remembering categories, to match the agreed screen taxonomy captured in four reference screenshots dated 27 August 2026 (see the screenshots/ folder).</w:t>
      </w:r>
    </w:p>
    <w:p>
      <w:pPr>
        <w:pStyle w:val="BodyText"/>
      </w:pPr>
      <w:r>
        <w:t>The four categories and their menu items are:</w:t>
      </w:r>
    </w:p>
    <w:p>
      <w:pPr>
        <w:pStyle w:val="BodyText"/>
      </w:pPr>
      <w:r>
        <w:t>•  Admin / Backend: Dashboard, Companies &amp; Holdings, Product Manager, Order Management, Inventory*, Customers (CRM), Support Tickets, Marketing &amp; Promos*, CMS / Site Builder*, Users &amp; Settings, Activity Log.</w:t>
      </w:r>
    </w:p>
    <w:p>
      <w:pPr>
        <w:pStyle w:val="BodyText"/>
      </w:pPr>
      <w:r>
        <w:t>•  Human Resources: HR Dashboard*, Employees, Departments*, Attendance, Leave Requests, Shift Scheduling*, Recruitment, Payroll*.</w:t>
      </w:r>
    </w:p>
    <w:p>
      <w:pPr>
        <w:pStyle w:val="BodyText"/>
      </w:pPr>
      <w:r>
        <w:t>•  My HR (employee self-service): My Profile, Clock In / Out*, My Leave*, My Shifts*, My Performance*, My Payslips*, My Salary Advances*.</w:t>
      </w:r>
    </w:p>
    <w:p>
      <w:pPr>
        <w:pStyle w:val="BodyText"/>
      </w:pPr>
      <w:r>
        <w:t>•  Financial &amp; Accounting: Financial &amp; Accounting (overview)*, General Ledger &amp; Journals, Accounts Payable, Expenses, Assets, Projects, Reports, Suppliers, Inter-Company.</w:t>
      </w:r>
    </w:p>
    <w:p>
      <w:pPr>
        <w:pStyle w:val="BodyText"/>
      </w:pPr>
      <w:r>
        <w:t>Items marked with an asterisk (*) are part of the taxonomy but have no backend service in the current slice. In the application they render as navigable “Planned” placeholder screens so the structure has no dead links. Every previously working screen remains available — it has only been regrouped, and in some cases relabelled (Companies → Companies &amp; Holdings, Products → Product Manager, Orders → Order Management, Users &amp; Roles → Users &amp; Settings, Audit Trail → Activity Log, Accounting → General Ledger &amp; Journals, Leave → Leave Requests). Suppliers moved under Financial &amp; Accounting; Performance is no longer a top-level link (manager-side access is retained via /performance and the HR flows, and “My Performance” is the self-service entry).</w:t>
      </w:r>
    </w:p>
    <w:p>
      <w:pPr>
        <w:pStyle w:val="BodyText"/>
      </w:pPr>
      <w:r>
        <w:t>This is a front-end-only change: NAV_GROUPS taxonomy and a collapsible category component in mbms/frontend/src/components/Layout.jsx, a shared ComingSoon placeholder component, 14 placeholder routes in App.jsx, and sidebar styles in app.css. There is no API, database schema, or data-migration impact. Verified with a production vite build (62 modules, no errors) and a headless screenshot of the running dev server.</w:t>
      </w:r>
    </w:p>
    <w:p>
      <w:pPr>
        <w:pStyle w:val="Heading2"/>
      </w:pPr>
      <w:r>
        <w:t>Impact on this document</w:t>
      </w:r>
    </w:p>
    <w:p>
      <w:pPr>
        <w:pStyle w:val="BodyText"/>
      </w:pPr>
      <w:r>
        <w:t>Front-end-only release. Deploy the rebuilt mbms/frontend static bundle; no backend deployment, migration, or configuration change. Rollback is a redeploy of the previous front-end bundle.</w:t>
      </w:r>
    </w:p>
    <w:p>
      <w:pPr>
        <w:pStyle w:val="Heading1"/>
      </w:pPr>
      <w:r>
        <w:t>Implementation Status Update 27 (27 August 2026) — Delegated Administration (Grant Authority)</w:t>
      </w:r>
    </w:p>
    <w:p>
      <w:pPr>
        <w:pStyle w:val="BodyText"/>
      </w:pPr>
      <w:r>
        <w:t>Every admin user may only view, create, update, delete and execute the operations that have been granted to them — enforced per request by the permission guard, which re-derives the user's roles and permissions from the database on every call. On 27 August 2026 the model for HOW those grants are made was tightened: roles and direct permissions may now only be granted or revoked by three business grantor roles, each within a bounded authority.</w:t>
      </w:r>
    </w:p>
    <w:p>
      <w:pPr>
        <w:pStyle w:val="BodyText"/>
      </w:pPr>
      <w:r>
        <w:t>Grantor authority:</w:t>
      </w:r>
    </w:p>
    <w:p>
      <w:pPr>
        <w:pStyle w:val="BodyText"/>
      </w:pPr>
      <w:r>
        <w:t>•  Managing Director: may delegate any role and any permission (every domain), to any user, group-wide.</w:t>
      </w:r>
    </w:p>
    <w:p>
      <w:pPr>
        <w:pStyle w:val="BodyText"/>
      </w:pPr>
      <w:r>
        <w:t>•  Branch Manager: may delegate only “operations”-domain permissions (and roles composed only of them), and only to users inside their own company/branch scope.</w:t>
      </w:r>
    </w:p>
    <w:p>
      <w:pPr>
        <w:pStyle w:val="BodyText"/>
      </w:pPr>
      <w:r>
        <w:t>•  Human Resources Manager: may delegate only “hr”-domain permissions, and only to users inside their own company/branch scope.</w:t>
      </w:r>
    </w:p>
    <w:p>
      <w:pPr>
        <w:pStyle w:val="BodyText"/>
      </w:pPr>
      <w:r>
        <w:t>•  Super Administrator / IT Administrator: retain unbounded grant authority as the platform bootstrap / break-glass path (they hold identity.user.manage).</w:t>
      </w:r>
    </w:p>
    <w:p>
      <w:pPr>
        <w:pStyle w:val="BodyText"/>
      </w:pPr>
      <w:r>
        <w:t>Mechanism: every permission now carries a domain (identity, org, hr, finance, operations or governance). DELEGATION_RULES maps each grantor role to the domains it may delegate and whether its reach is group-wide or own-scope; a user with several grantor roles gets the union. DelegationService.assertCanGrant runs on every grant and every revoke (a role assignment is first expanded to its permission codes): it checks each permission's domain against the actor's authority, then — for own-scope grantors — that every one of the target user's scope rows is covered by one of the actor's. A new permission identity.user.delegate lets the three grantor roles reach the grant/revoke and read-only user-list endpoints; user lifecycle (create / activate / lock / scope) stays limited to identity.user.manage.</w:t>
      </w:r>
    </w:p>
    <w:p>
      <w:pPr>
        <w:pStyle w:val="BodyText"/>
      </w:pPr>
      <w:r>
        <w:t>Supporting changes: GET /identity/users/{id}/delegatable-grants returns exactly the roles and permissions the signed-in admin may grant on that user plus a canDelegateToTarget flag, and the Users &amp; Settings screen uses it so its dropdowns only ever offer allowed grants and it shows a notice when the selected user is outside the admin's scope. Grant and revoke are written to the audit trail (identity.user.updated with roleAssigned / roleRemoved / permissionGranted / permissionRevoked); a blocked attempt is recorded as UsersController.access.denied. One Prisma migration adds permissions.domain; the seed backfills every domain and grants identity.user.delegate to the Managing Director, Branch Manager, Human Resources Manager and Super Administrator. Verified end-to-end against the running API (MD grants any domain; Branch Manager grants operations in-scope but is refused an hr permission and any out-of-scope target; HR Manager grants hr in-scope but is refused operations; a non-grantor is refused by the guard).</w:t>
      </w:r>
    </w:p>
    <w:p>
      <w:pPr>
        <w:pStyle w:val="Heading2"/>
      </w:pPr>
      <w:r>
        <w:t>Impact on this document</w:t>
      </w:r>
    </w:p>
    <w:p>
      <w:pPr>
        <w:pStyle w:val="BodyText"/>
      </w:pPr>
      <w:r>
        <w:t>Deployment: one forward-only migration adds permissions.domain, followed by a reseed (or a data backfill of domain values and the identity.user.delegate grants) — both idempotent. No downtime; front-end bundle rebuilt. Rollback drops the column and reverts the bundle; grants already made remain valid.</w:t>
      </w:r>
    </w:p>
    <w:p>
      <w:pPr>
        <w:pStyle w:val="Heading1"/>
      </w:pPr>
      <w:r>
        <w:t>Implementation Status Update 28 (27 August 2026) — Permission-Based Visibility (Hide Unpermitted Operations)</w:t>
      </w:r>
    </w:p>
    <w:p>
      <w:pPr>
        <w:pStyle w:val="BodyText"/>
      </w:pPr>
      <w:r>
        <w:t>Building on the delegated-administration model, the Admin application now HIDES what a user has not been granted rather than only blocking it on submit: an operation a user has not been permitted — whether by the Managing Director, a Branch Manager or an HR Manager — is not shown to them at all.</w:t>
      </w:r>
    </w:p>
    <w:p>
      <w:pPr>
        <w:pStyle w:val="BodyText"/>
      </w:pPr>
      <w:r>
        <w:t>Behaviour:</w:t>
      </w:r>
    </w:p>
    <w:p>
      <w:pPr>
        <w:pStyle w:val="BodyText"/>
      </w:pPr>
      <w:r>
        <w:t>•  Sidebar: a menu item the signed-in user lacks the permission for is not rendered — not greyed, not disabled; a whole category disappears when none of its items are visible.</w:t>
      </w:r>
    </w:p>
    <w:p>
      <w:pPr>
        <w:pStyle w:val="BodyText"/>
      </w:pPr>
      <w:r>
        <w:t>•  Direct URL: typing the address of a screen the user may not see redirects them to the Dashboard; no flash of content.</w:t>
      </w:r>
    </w:p>
    <w:p>
      <w:pPr>
        <w:pStyle w:val="BodyText"/>
      </w:pPr>
      <w:r>
        <w:t>•  Always visible: the Dashboard and the “My HR” employee self-service screens (my profile, clock in/out, my leave, my shifts, my performance, my payslips, my salary advances).</w:t>
      </w:r>
    </w:p>
    <w:p>
      <w:pPr>
        <w:pStyle w:val="BodyText"/>
      </w:pPr>
      <w:r>
        <w:t>•  Platform administrators: holders of identity.user.manage (Super Administrator / IT Administrator) see everything, as they administer the system itself.</w:t>
      </w:r>
    </w:p>
    <w:p>
      <w:pPr>
        <w:pStyle w:val="BodyText"/>
      </w:pPr>
      <w:r>
        <w:t>Mechanism: the login, token-refresh and GET /identity/users/me responses now include the user's effective permission codes (role permissions plus direct grants) — the same set the request guard already enforces. The front end holds one map, ROUTE_CAPABILITIES (mbms/frontend/src/lib/capabilities.js), from each admin route to the permission code(s) that make it meaningful ('*' = always; '__platform_admin__' = platform admins only, used for planned screens with no permission code yet, e.g. Payroll). The sidebar filters its items through this map; RequireAuth checks it on every navigation and redirects to the Dashboard when the target is not permitted; a hasPermission(...) helper is available to screens for finer hiding. The map is the single source for both the menu and the route guard so they cannot drift. While a session saved before this field existed is being re-hydrated (the app re-reads /identity/users/me on load), nothing is blocked client-side — the API still enforces every call.</w:t>
      </w:r>
    </w:p>
    <w:p>
      <w:pPr>
        <w:pStyle w:val="BodyText"/>
      </w:pPr>
      <w:r>
        <w:t>This is presentation and navigation only — no new permission codes, no schema change, no change to what the API allows (every endpoint keeps its own permission check). Verified with the running system: signed in as Sales Manager (product.manage, sales.order.manage, customer.manage, expense.create, expense.approve.manager, leave.approve) the sidebar shows only Dashboard, Product Manager, Order Management, Inventory, Customers (CRM), Marketing &amp; Promos, CMS / Site Builder, Leave Requests, the whole My HR group and Expenses — nothing else — and navigating to /users redirects to the Dashboard.</w:t>
      </w:r>
    </w:p>
    <w:p>
      <w:pPr>
        <w:pStyle w:val="Heading2"/>
      </w:pPr>
      <w:r>
        <w:t>Impact on this document</w:t>
      </w:r>
    </w:p>
    <w:p>
      <w:pPr>
        <w:pStyle w:val="BodyText"/>
      </w:pPr>
      <w:r>
        <w:t>Deployment: front-end bundle rebuild plus the additional `permissions` field on three existing responses. No migration, no configuration change. Rollback is the previous bundle; the extra response field is harmless to older clients.</w:t>
      </w:r>
    </w:p>
    <w:p>
      <w:pPr>
        <w:pStyle w:val="Heading1"/>
      </w:pPr>
      <w:r>
        <w:t>Implementation Status Update 29 (27 August 2026) — Customer Storefront Localisation (Uganda Languages)</w:t>
      </w:r>
    </w:p>
    <w:p>
      <w:pPr>
        <w:pStyle w:val="BodyText"/>
      </w:pPr>
      <w:r>
        <w:t>A customer can now switch the Customer Storefront into any of Uganda's languages from a picker in the header, and on the Landing and Login screens before sign-in. The choice is remembered in that browser (localStorage 'storefront.lang') and also sets the page's HTML lang attribute.</w:t>
      </w:r>
    </w:p>
    <w:p>
      <w:pPr>
        <w:pStyle w:val="BodyText"/>
      </w:pPr>
      <w:r>
        <w:t>Coverage (agreed scope: framework + key strings + English fallback):</w:t>
      </w:r>
    </w:p>
    <w:p>
      <w:pPr>
        <w:pStyle w:val="BodyText"/>
      </w:pPr>
      <w:r>
        <w:t>•  Languages offered: the two official languages (English, Kiswahili) plus Uganda's indigenous languages grouped by family in the picker — Bantu (Luganda, Runyankole, Rukiga, Lusoga, Rutooro, Lumasaba, Kinyarwanda), Nilotic (Ateso, Acholi, Lango, Karamojong, Alur, Kakwa) and Central Sudanic (Lugbara, Ma'di, Aringa).</w:t>
      </w:r>
    </w:p>
    <w:p>
      <w:pPr>
        <w:pStyle w:val="BodyText"/>
      </w:pPr>
      <w:r>
        <w:t>•  Translated now: English is the complete baseline; Kiswahili and Luganda cover the key UI strings (navigation, header, buttons, page headings, common labels); Runyankole and Acholi are partial.</w:t>
      </w:r>
    </w:p>
    <w:p>
      <w:pPr>
        <w:pStyle w:val="BodyText"/>
      </w:pPr>
      <w:r>
        <w:t>•  Fallback: any string not yet translated for the chosen language renders in English, key by key, so a page is never half-blank; untranslated languages are listed and marked accordingly for translators to fill.</w:t>
      </w:r>
    </w:p>
    <w:p>
      <w:pPr>
        <w:pStyle w:val="BodyText"/>
      </w:pPr>
      <w:r>
        <w:t>•  Not translated in this pass: long body / marketing prose, and any server-generated text (statuses, e-mails) — the preference is applied in the browser only; no API response changes.</w:t>
      </w:r>
    </w:p>
    <w:p>
      <w:pPr>
        <w:pStyle w:val="BodyText"/>
      </w:pPr>
      <w:r>
        <w:t>Mechanism: mbms/storefront/src/locales/index.js holds LANGUAGE_LIST (code, English label, local name, language family) and LOCALES — one flat key-to-string table per language, with the English table complete. mbms/storefront/src/lib/i18n.jsx provides an I18nProvider (reads and persists the choice, sets document lang) and a t(key, vars) helper that returns the chosen language's string, else English, else the key, interpolating {name}-style placeholders. A LanguageSwitcher component (grouped by family) sits in the storefront header and on the Landing and Login screens; all eleven storefront pages call t() for their navigation, headings and primary buttons.</w:t>
      </w:r>
    </w:p>
    <w:p>
      <w:pPr>
        <w:pStyle w:val="BodyText"/>
      </w:pPr>
      <w:r>
        <w:t>No back-end, database or API change — the language preference lives only in the customer's browser. Verified with the running storefront: the home page in Luganda (navigation “Awaka / Edduuka / Ebiragiro Byange / Inivoosi n'Ebisasulo / Obuyambi / Akakawunti Kange”, welcome “Tukwanirizza nate, …”) and the login screen in Kiswahili (“Barua pepe au Nambari ya Akaunti”, “Nywila”, “Ingia”); switching to a not-yet-translated language falls back to English cleanly.</w:t>
      </w:r>
    </w:p>
    <w:p>
      <w:pPr>
        <w:pStyle w:val="Heading2"/>
      </w:pPr>
      <w:r>
        <w:t>Impact on this document</w:t>
      </w:r>
    </w:p>
    <w:p>
      <w:pPr>
        <w:pStyle w:val="BodyText"/>
      </w:pPr>
      <w:r>
        <w:t>Deployment: storefront bundle rebuild only. No migration, no config, no back-end deploy. Rollback is the previous bundle.</w:t>
      </w:r>
    </w:p>
    <w:p>
      <w:pPr>
        <w:pStyle w:val="Heading1"/>
      </w:pPr>
      <w:r>
        <w:t>Implementation Status Update 30 (27 August 2026) — Storefront Localisation Extended to World Languages</w:t>
      </w:r>
    </w:p>
    <w:p>
      <w:pPr>
        <w:pStyle w:val="BodyText"/>
      </w:pPr>
      <w:r>
        <w:t>The Customer Storefront language picker, introduced the same day for Uganda's languages, is extended to the major languages of every continent — 43 languages in total. The picker groups them: Uganda's language families first, then Africa, Asia, Europe, the Americas and Oceania.</w:t>
      </w:r>
    </w:p>
    <w:p>
      <w:pPr>
        <w:pStyle w:val="BodyText"/>
      </w:pPr>
      <w:r>
        <w:t>What changed from the Uganda-languages pass:</w:t>
      </w:r>
    </w:p>
    <w:p>
      <w:pPr>
        <w:pStyle w:val="BodyText"/>
      </w:pPr>
      <w:r>
        <w:t>•  Languages added: Africa — Arabic, Hausa, Yoruba, Igbo, Amharic, Zulu; Asia — Mandarin Chinese, Hindi, Bengali, Japanese, Indonesian, Russian, Turkish; Europe — German, French, Spanish, Italian; the Americas — Portuguese, Quechua, Guarani; Oceania — Tok Pisin, Māori, Samoan, Tongan, Fijian.</w:t>
      </w:r>
    </w:p>
    <w:p>
      <w:pPr>
        <w:pStyle w:val="BodyText"/>
      </w:pPr>
      <w:r>
        <w:t>•  Now translated (key UI): in addition to English (complete), Kiswahili and Luganda, the key UI strings are translated for French, Spanish, Portuguese, German, Italian and Arabic; Runyankole and Acholi remain partial; every other language falls back to English key by key.</w:t>
      </w:r>
    </w:p>
    <w:p>
      <w:pPr>
        <w:pStyle w:val="BodyText"/>
      </w:pPr>
      <w:r>
        <w:t>•  Right-to-left: Arabic is the first right-to-left language; selecting it flips the document direction (the HTML dir attribute) and a small dir='rtl' block in the stylesheet corrects the few physically-placed elements. Any right-to-left language added later behaves the same way.</w:t>
      </w:r>
    </w:p>
    <w:p>
      <w:pPr>
        <w:pStyle w:val="BodyText"/>
      </w:pPr>
      <w:r>
        <w:t>•  Unchanged: still a front-end-only change — the preference lives in the customer's browser; no API, database schema or migration is affected, and server-generated text is not translated in this pass.</w:t>
      </w:r>
    </w:p>
    <w:p>
      <w:pPr>
        <w:pStyle w:val="BodyText"/>
      </w:pPr>
      <w:r>
        <w:t>Mechanism: LANGUAGE_LIST in mbms/storefront/src/locales/index.js gains the world languages (each with a code, English label, local/native name and a group), plus an optional dir: 'rtl' marker and a dirForLang() helper. LOCALES gains a translated key-string table for fr, es, pt, de, it and ar, and an empty (English-fallback) entry for every other new code. lib/i18n.jsx now also sets document.documentElement.dir on each language change. LanguageSwitcher already groups by the region field, so it renders the new continent groups without change. No storefront page needed editing — they were already wired to t() in the previous pass.</w:t>
      </w:r>
    </w:p>
    <w:p>
      <w:pPr>
        <w:pStyle w:val="BodyText"/>
      </w:pPr>
      <w:r>
        <w:t>Verified with the running storefront: the home page in French (navigation “Accueil / Boutique / Mes commandes / Factures et paiements / Assistance / Mon compte”, welcome “Bon retour, …”), and the login and home screens in Arabic with the entire layout mirrored right-to-left (“تسجيل الدخول”, “البريد الإلكتروني أو رقم الحساب”). Languages without a translation yet fall back to English cleanly.</w:t>
      </w:r>
    </w:p>
    <w:p>
      <w:pPr>
        <w:pStyle w:val="Heading2"/>
      </w:pPr>
      <w:r>
        <w:t>Impact on this document</w:t>
      </w:r>
    </w:p>
    <w:p>
      <w:pPr>
        <w:pStyle w:val="BodyText"/>
      </w:pPr>
      <w:r>
        <w:t>Deployment: storefront bundle rebuild only — no migration, config or back-end deploy. Rollback is the previous bundle.</w:t>
      </w:r>
    </w:p>
    <w:p>
      <w:pPr>
        <w:pStyle w:val="Heading1"/>
      </w:pPr>
      <w:r>
        <w:t>Implementation Status Update 31 (27 August 2026) — Full Storefront Localisation (Every Screen)</w:t>
      </w:r>
    </w:p>
    <w:p>
      <w:pPr>
        <w:pStyle w:val="BodyText"/>
      </w:pPr>
      <w:r>
        <w:t>When a customer changes language, the WHOLE Customer Storefront now changes, not only the navigation and page headings. Every visible string was pulled into the translation catalogue and every storefront component was wired to render through it.</w:t>
      </w:r>
    </w:p>
    <w:p>
      <w:pPr>
        <w:pStyle w:val="BodyText"/>
      </w:pPr>
      <w:r>
        <w:t>What this pass covered:</w:t>
      </w:r>
    </w:p>
    <w:p>
      <w:pPr>
        <w:pStyle w:val="BodyText"/>
      </w:pPr>
      <w:r>
        <w:t>•  Full string extraction: about 190 keys covering all eleven storefront pages, the shared Layout, and the public Landing page (hero, feature cards, the how-it-works steps, footer and the full five-point disclaimer modal).</w:t>
      </w:r>
    </w:p>
    <w:p>
      <w:pPr>
        <w:pStyle w:val="BodyText"/>
      </w:pPr>
      <w:r>
        <w:t>•  Every UI element keyed: form labels, input placeholders, empty-state messages, table headers, buttons, breadcrumb trails, error and success banners, and the order / invoice / ticket status and priority badges (new tStatus() / tPriority() helpers, replacing the raw UPPER-CASE humaniser for any value present in the catalogue).</w:t>
      </w:r>
    </w:p>
    <w:p>
      <w:pPr>
        <w:pStyle w:val="BodyText"/>
      </w:pPr>
      <w:r>
        <w:t>•  Nine languages complete: English is the baseline; Kiswahili, Luganda, French, Spanish, Portuguese, German, Italian and Arabic are now translated in full, so selecting any of them changes every screen. Runyankole and Acholi remain partial; all other languages fall back to English string by string.</w:t>
      </w:r>
    </w:p>
    <w:p>
      <w:pPr>
        <w:pStyle w:val="BodyText"/>
      </w:pPr>
      <w:r>
        <w:t>•  Unchanged: still a front-end-only change — no API, database schema or migration is affected. Server-supplied data (company names, product names, monetary amounts) is shown exactly as the API returns it.</w:t>
      </w:r>
    </w:p>
    <w:p>
      <w:pPr>
        <w:pStyle w:val="BodyText"/>
      </w:pPr>
      <w:r>
        <w:t>Mechanism: the catalogue was split for maintainability into mbms/storefront/src/locales/en.js (the complete key set), eu.js (French, Spanish, Portuguese, German, Italian) and regional.js (Swahili, Luganda, Arabic in full; Runyankole and Acholi partial), assembled by locales/index.js which also exposes FULLY_TRANSLATED_LANGS. lib/i18n.jsx gained tStatus() and tPriority(), which look up status.* / priority.* keys and fall back to the previous humanised form for any enum not in the catalogue. Every page component (Home, Shop, Product Detail, Cart, Orders, Invoices, Make Payment, Support, Account, Login, Landing) now renders exclusively through t() / tStatus() / tPriority(); lib/format.js's statusLabel is no longer used by the UI.</w:t>
      </w:r>
    </w:p>
    <w:p>
      <w:pPr>
        <w:pStyle w:val="BodyText"/>
      </w:pPr>
      <w:r>
        <w:t>Verified against the running storefront: the French Orders screen (status column, order tracker steps, filter and buttons all translated), the German Account screen (every field label, payment terms, add-address button), and the Arabic Home screen — each rendered entirely in the chosen language, with Arabic mirrored right-to-left, and only server-supplied data left in its original form. Selecting a not-yet-translated language leaves each individual string in English rather than blank.</w:t>
      </w:r>
    </w:p>
    <w:p>
      <w:pPr>
        <w:pStyle w:val="Heading2"/>
      </w:pPr>
      <w:r>
        <w:t>Impact on this document</w:t>
      </w:r>
    </w:p>
    <w:p>
      <w:pPr>
        <w:pStyle w:val="BodyText"/>
      </w:pPr>
      <w:r>
        <w:t>Deployment: storefront bundle rebuild only. No migration, config or back-end change. Rollback is the previous bundle.</w:t>
      </w:r>
    </w:p>
    <w:p>
      <w:pPr>
        <w:pStyle w:val="Heading1"/>
      </w:pPr>
      <w:r>
        <w:t>Implementation Status Update 32 (27 August 2026) — Database Content Localisation (Read in Language, Store in English)</w:t>
      </w:r>
    </w:p>
    <w:p>
      <w:pPr>
        <w:pStyle w:val="BodyText"/>
      </w:pPr>
      <w:r>
        <w:t>Localisation now reaches the data, not only the interface. A customer sees database values in the language they chose, and anything a customer types is stored in English — with their exact original wording kept alongside so nothing is lost.</w:t>
      </w:r>
    </w:p>
    <w:p>
      <w:pPr>
        <w:pStyle w:val="BodyText"/>
      </w:pPr>
      <w:r>
        <w:t>The two directions:</w:t>
      </w:r>
    </w:p>
    <w:p>
      <w:pPr>
        <w:pStyle w:val="BodyText"/>
      </w:pPr>
      <w:r>
        <w:t>•  Read — data shown in the customer's language: the storefront sends an Accept-Language header on every request; the customer-portal endpoints map product and category names, units of measure, and the glossary-reachable parts of descriptions and support-ticket text into that language on the way out. Database rows are unchanged.</w:t>
      </w:r>
    </w:p>
    <w:p>
      <w:pPr>
        <w:pStyle w:val="BodyText"/>
      </w:pPr>
      <w:r>
        <w:t>•  Write — customer input stored in English: when a customer submits a support ticket, a ticket reply or a delivery address in another language, the text is normalised to English for storage; the row keeps a source_language marker and *_original columns holding the customer's exact words. The customer sees their own wording back while browsing in that language; staff see and store English, with a “show customer's original” toggle on the Support Tickets screen.</w:t>
      </w:r>
    </w:p>
    <w:p>
      <w:pPr>
        <w:pStyle w:val="BodyText"/>
      </w:pPr>
      <w:r>
        <w:t>•  Curated glossary: a bidirectional phrase- and token-level map covers the finite storefront vocabulary — category names, units, address words, and the recurring tokens in product names. Order / invoice / ticket status and priority values are covered by the existing UI catalogue, not the glossary.</w:t>
      </w:r>
    </w:p>
    <w:p>
      <w:pPr>
        <w:pStyle w:val="BodyText"/>
      </w:pPr>
      <w:r>
        <w:t>•  Free-form prose: arbitrary text outside the glossary passes through a TranslationProvider seam whose bundled implementation is a no-op — this proof-of-concept is offline with no translation service. A real provider (a hosted MT service or an LLM) plugs in there and is selected with CONTENT_TRANSLATION_PROVIDER.</w:t>
      </w:r>
    </w:p>
    <w:p>
      <w:pPr>
        <w:pStyle w:val="BodyText"/>
      </w:pPr>
      <w:r>
        <w:t>Mechanism: a new mbms/backend/src/common/translation module — content-glossary.ts (the bidirectional vocabulary), translation.provider.ts (the provider interface plus the no-op IdentityTranslationProvider), content-translation.service.ts (resolveLang from Accept-Language, toLocale for read, toEnglish for write) and a @Global translation.module.ts. One Prisma migration (content_translation_originals) adds source_language and *_original columns to support_tickets, ticket_messages and delivery_addresses. The customer-portal catalog, support and account controllers read the header; SupportService and CustomerAccountService normalise inbound text and persist the originals; the staff SupportService resource and the admin Support Tickets screen expose them.</w:t>
      </w:r>
    </w:p>
    <w:p>
      <w:pPr>
        <w:pStyle w:val="BodyText"/>
      </w:pPr>
      <w:r>
        <w:t>Verified against the running API: catalogue categories return as “Pembejeo za Kilimo / Mafuta / Ghala” in Swahili and product names token-translate (“Maïs Semence — 25kg Sac” in French); a support ticket written in Luganda is stored with an English subject/description, source_language 'lg', and the Luganda originals preserved — the customer still sees their own words, and the same customer viewing in French gets the English glossary-translated into French, not the Luganda original.</w:t>
      </w:r>
    </w:p>
    <w:p>
      <w:pPr>
        <w:pStyle w:val="Heading2"/>
      </w:pPr>
      <w:r>
        <w:t>Impact on this document</w:t>
      </w:r>
    </w:p>
    <w:p>
      <w:pPr>
        <w:pStyle w:val="BodyText"/>
      </w:pPr>
      <w:r>
        <w:t>Deployment: one forward migration adds the companion columns (nullable, safe), then the rebuilt backend + storefront bundles. No configuration change unless a real translation provider is enabled via CONTENT_TRANSLATION_PROVIDER. Rollback drops the columns and reverts the bundles; English canonical values are unaffected.</w:t>
      </w:r>
    </w:p>
    <w:p>
      <w:pPr>
        <w:pStyle w:val="Heading1"/>
      </w:pPr>
      <w:r>
        <w:t>Implementation Status Update 33 (27 August 2026) — Currency &amp; Figure Localisation (Convert for Display, Store Canonical)</w:t>
      </w:r>
    </w:p>
    <w:p>
      <w:pPr>
        <w:pStyle w:val="BodyText"/>
      </w:pPr>
      <w:r>
        <w:t>Localisation now covers money and numerals. A customer sees amounts and figures in the form their language expects; the database keeps a single canonical form (English words, Uganda Shillings, Western 0-9 digits).</w:t>
      </w:r>
    </w:p>
    <w:p>
      <w:pPr>
        <w:pStyle w:val="BodyText"/>
      </w:pPr>
      <w:r>
        <w:t>The behaviour:</w:t>
      </w:r>
    </w:p>
    <w:p>
      <w:pPr>
        <w:pStyle w:val="BodyText"/>
      </w:pPr>
      <w:r>
        <w:t>•  Currency conversion for display: amounts come from the API in Uganda Shillings (UGX). When the customer's chosen language belongs to a region that uses another currency, the storefront converts the amount and formats it for that locale — currency name, value, thousands grouping and decimal mark all follow it. Uganda's languages keep UGX unchanged.</w:t>
      </w:r>
    </w:p>
    <w:p>
      <w:pPr>
        <w:pStyle w:val="BodyText"/>
      </w:pPr>
      <w:r>
        <w:t>•  Numerals in the language's script: digits in localised database text (for example the “25kg” inside a translated product name) and standalone figures (quantities, stock, dashboard counts) are shown in the language's own digit script where it has one — Arabic-Indic for Arabic, Western for the rest.</w:t>
      </w:r>
    </w:p>
    <w:p>
      <w:pPr>
        <w:pStyle w:val="BodyText"/>
      </w:pPr>
      <w:r>
        <w:t>•  Fixed demo rates: conversion uses single constant rates (UGX per unit: USD 3800, EUR 4150, AED 1022, BRL 700), consistent with the existing “no live FX feed” position for this proof-of-concept; a real feed replaces the constants.</w:t>
      </w:r>
    </w:p>
    <w:p>
      <w:pPr>
        <w:pStyle w:val="BodyText"/>
      </w:pPr>
      <w:r>
        <w:t>•  Storage stays canonical: nothing about the stored data changes — monetary columns remain UGX, and any numeral a customer types in a non-Western script is transliterated to 0-9 before storage (their original characters are kept in the *_original columns from the previous change).</w:t>
      </w:r>
    </w:p>
    <w:p>
      <w:pPr>
        <w:pStyle w:val="BodyText"/>
      </w:pPr>
      <w:r>
        <w:t>Mechanism: mbms/storefront/src/lib/format.js gains locale-aware helpers — money() (currency conversion + Intl.NumberFormat with currencyDisplay:'name'), figure() (locale-formatted integers) and localizeDigits() — driven by CURRENCY_BY_LANG, UGX_PER_UNIT and LOCALE_TAG maps. On the backend, ContentTranslationService.toLocale also transliterates digits in text for scripts that need it (DIGIT_SCRIPTS), and toEnglish runs toWesternDigits on every inbound string first — even for an otherwise-unsupported language — so “٥” is stored as “5”. No database schema change and no new endpoint.</w:t>
      </w:r>
    </w:p>
    <w:p>
      <w:pPr>
        <w:pStyle w:val="BodyText"/>
      </w:pPr>
      <w:r>
        <w:t>Verified against the running storefront: in Arabic, catalogue prices read as “93.93 درهم إماراتي” with Arabic-Indic digits in product names (“… ١٠kg …”); in French, every amount is EUR with fr-FR formatting (“3 687,04 euros”). A support ticket typed in Arabic with Arabic-Indic digits is stored with Western digits and the exact original preserved.</w:t>
      </w:r>
    </w:p>
    <w:p>
      <w:pPr>
        <w:pStyle w:val="Heading2"/>
      </w:pPr>
      <w:r>
        <w:t>Impact on this document</w:t>
      </w:r>
    </w:p>
    <w:p>
      <w:pPr>
        <w:pStyle w:val="BodyText"/>
      </w:pPr>
      <w:r>
        <w:t>Deployment: storefront and backend bundle rebuilds only. No migration, no configuration change unless live FX rates are later wired in place of the constants. Rollback is the previous bundles; stored values are unaffected.</w:t>
      </w:r>
    </w:p>
    <w:p>
      <w:pPr>
        <w:pStyle w:val="Heading1"/>
      </w:pPr>
      <w:r>
        <w:t>Implementation Status Update 34 (27 August 2026) — Subsidiary Lifecycle &amp; Clearing / Forwarding Subsidiary</w:t>
      </w:r>
    </w:p>
    <w:p>
      <w:pPr>
        <w:pStyle w:val="BodyText"/>
      </w:pPr>
      <w:r>
        <w:t>The Managing Director asked to be able to view, create, update, delete and activate/deactivate subsidiaries and everything under them (users, branches, departments, policies), and to set up a new Clearing, Forwarding &amp; Logistics subsidiary. Both are done: the subsidiary lifecycle is fully manageable, and “Morise Clearing &amp; Forwarding Ltd” now exists as a real subsidiary.</w:t>
      </w:r>
    </w:p>
    <w:p>
      <w:pPr>
        <w:pStyle w:val="BodyText"/>
      </w:pPr>
      <w:r>
        <w:t>What was delivered:</w:t>
      </w:r>
    </w:p>
    <w:p>
      <w:pPr>
        <w:pStyle w:val="BodyText"/>
      </w:pPr>
      <w:r>
        <w:t>•  MD gains full company + user administration: the Managing Director role now holds organization.company.manage and identity.user.manage in addition to its group-wide view, so an MD can create and change subsidiaries and the users, branches, departments and policies under them (previously view-only).</w:t>
      </w:r>
    </w:p>
    <w:p>
      <w:pPr>
        <w:pStyle w:val="BodyText"/>
      </w:pPr>
      <w:r>
        <w:t>•  Delete and execute controls added: new endpoints — DELETE /organization/companies/{id} (and the same for branches, departments and policies), plus POST .../companies/{id}/activate and /deactivate. A company can only be hard-deleted once it is genuinely empty; otherwise the response says to deactivate it instead. The root holding company can never be deleted or deactivated. Every action is audited (organization.*.deleted / .updated).</w:t>
      </w:r>
    </w:p>
    <w:p>
      <w:pPr>
        <w:pStyle w:val="BodyText"/>
      </w:pPr>
      <w:r>
        <w:t>•  Admin UI: the Companies list gains per-row Activate/Deactivate and Delete for subsidiaries; the Company detail screen gains Delete on each branch, department and policy row and Activate/Deactivate/Delete for the subsidiary itself. All gated to Managing Director / Super Administrator / IT Administrator.</w:t>
      </w:r>
    </w:p>
    <w:p>
      <w:pPr>
        <w:pStyle w:val="BodyText"/>
      </w:pPr>
      <w:r>
        <w:t>•  New subsidiary seeded: Morise Clearing &amp; Forwarding Ltd — wholly-owned (100%), UGX — with six border/airport branches (Kampala HQ, Malaba, Busia, Entebbe Airport, Mutukula, Elegu), eight departments (Customs Clearance, Freight Forwarding, Warehousing, Logistics &amp; Supply Chain, Export Facilitation, Fleet Management, Client Services, Finance &amp; Billing) and four starter policies (KYC, disbursement pre-funding, demurrage escalation, tax/levy rate configuration).</w:t>
      </w:r>
    </w:p>
    <w:p>
      <w:pPr>
        <w:pStyle w:val="BodyText"/>
      </w:pPr>
      <w:r>
        <w:t>The subsidiary's multi-module clearing/forwarding/logistics system — sixteen feature areas covering client &amp; CRM, job files, customs clearance with the URA duty/tax engine, freight forwarding, logistics &amp; supply chain, export facilitation, warehousing, multi-branch management, finance &amp; billing, document management, tracking &amp; notifications, reporting &amp; analytics, compliance &amp; risk, integrations, mobile apps and administration/security — is specified in a new document, 19_Clearing, Forwarding and Logistics System — Feature Specification, with a five-phase delivery backlog. None of those modules are built in the current MBMS slice; where the platform already has a capability (identity, org, finance, audit, notifications) the subsidiary will reuse it.</w:t>
      </w:r>
    </w:p>
    <w:p>
      <w:pPr>
        <w:pStyle w:val="BodyText"/>
      </w:pPr>
      <w:r>
        <w:t>Changes: backend organization service — companies/branches/departments/policies services and controllers gain remove(), companies gains setStatus() with activate/deactivate endpoints; seed.ts grants the MD role the two permissions and seeds the subsidiary org structure; admin frontend Companies.jsx and CompanyDetail.jsx gain the delete / activate-deactivate controls. No schema change. Verified end-to-end: the MD created, updated, added branch/department/policy to and deleted a test subsidiary, activated/deactivated it, and was correctly blocked (409, “deactivate instead”) from deleting the populated Clearing &amp; Forwarding subsidiary.</w:t>
      </w:r>
    </w:p>
    <w:p>
      <w:pPr>
        <w:pStyle w:val="Heading2"/>
      </w:pPr>
      <w:r>
        <w:t>Impact on this document</w:t>
      </w:r>
    </w:p>
    <w:p>
      <w:pPr>
        <w:pStyle w:val="BodyText"/>
      </w:pPr>
      <w:r>
        <w:t>Deployment: backend and admin-frontend bundle rebuilds plus a reseed (to add the Clearing &amp; Forwarding subsidiary structure and the two new MD permissions). No migration. Rollback reverts the bundles; existing companies are unaffected.</w:t>
      </w:r>
    </w:p>
    <w:p>
      <w:pPr>
        <w:pStyle w:val="Heading1"/>
      </w:pPr>
      <w:r>
        <w:t>Implementation Status Update 35 (27 August 2026) — Warehouse Management Subsidiary</w:t>
      </w:r>
    </w:p>
    <w:p>
      <w:pPr>
        <w:pStyle w:val="BodyText"/>
      </w:pPr>
      <w:r>
        <w:t>Using the subsidiary-lifecycle capability delivered in the previous change, the Managing Director set up a second new subsidiary: a multi-branch warehouse operation for Uganda. It exists as a real, manageable subsidiary; its Warehouse Management System is specified as future scope.</w:t>
      </w:r>
    </w:p>
    <w:p>
      <w:pPr>
        <w:pStyle w:val="BodyText"/>
      </w:pPr>
      <w:r>
        <w:t>What was delivered:</w:t>
      </w:r>
    </w:p>
    <w:p>
      <w:pPr>
        <w:pStyle w:val="BodyText"/>
      </w:pPr>
      <w:r>
        <w:t>•  New subsidiary seeded: Morise Warehouse Management Ltd — wholly-owned (100%), UGX — a subsidiary of Morise Holdings Limited.</w:t>
      </w:r>
    </w:p>
    <w:p>
      <w:pPr>
        <w:pStyle w:val="BodyText"/>
      </w:pPr>
      <w:r>
        <w:t>•  Branches: five warehouse branches: Kampala Central, Jinja, Mbarara, Gulu and Mbale.</w:t>
      </w:r>
    </w:p>
    <w:p>
      <w:pPr>
        <w:pStyle w:val="BodyText"/>
      </w:pPr>
      <w:r>
        <w:t>•  Departments: nine: Branch Operations, Inventory Control, Receiving &amp; Putaway, Order Fulfilment, Yard &amp; Dock, Reporting &amp; BI, IT &amp; Integrations, Compliance &amp; Security, and Field &amp; Mobile Operations.</w:t>
      </w:r>
    </w:p>
    <w:p>
      <w:pPr>
        <w:pStyle w:val="BodyText"/>
      </w:pPr>
      <w:r>
        <w:t>•  Starter policies: FEFO/FIFO stock rotation, cycle-count schedule, write-off &amp; transfer approval threshold, EFRIS/VAT configuration, and offline operation &amp; sync.</w:t>
      </w:r>
    </w:p>
    <w:p>
      <w:pPr>
        <w:pStyle w:val="BodyText"/>
      </w:pPr>
      <w:r>
        <w:t>The subsidiary's Warehouse Management System — twelve feature areas covering multi-location &amp; branch management, core inventory (batch/lot, serial, multi-UOM, cycle counting, ABC), receiving &amp; putaway with barcode scanning and cross-docking, order fulfilment (wave/zone picking, kitting, manifests, carrier integration), Uganda-specific features (multi-currency, 18% VAT with EFRIS/URA, mobile money, offline mode, Luganda/Swahili/Runyankole-Rukiga interfaces, power-outage resilience, road-condition alerts), yard &amp; dock management, reporting &amp; BI, integrations &amp; APIs, mobile &amp; field capabilities, security &amp; compliance (aligned with the Data Protection and Privacy Act 2019), advanced/future-ready features (AI forecasting, IoT cold-chain, RFID, AGV, blockchain traceability) and user management &amp; workflow — is specified in a new document, 20_Warehouse Management System (WMS) — Feature Specification, with a five-phase delivery backlog. None of those modules are built in the current MBMS slice; the WMS reuses the platform's identity, organisation, finance, audit, notification and localisation capabilities where they already exist.</w:t>
      </w:r>
    </w:p>
    <w:p>
      <w:pPr>
        <w:pStyle w:val="BodyText"/>
      </w:pPr>
      <w:r>
        <w:t>Changes: seed.ts seeds the subsidiary org structure (company, 5 branches, 9 departments, 5 policies) under the holding company. No code or schema change — the Managing Director already has full create/update/delete/activate over subsidiaries and their branches, departments and policies from the previous change. Verified: as the Managing Director, the subsidiary and all five branches, nine departments and five policies are visible and manageable through the admin Companies screens.</w:t>
      </w:r>
    </w:p>
    <w:p>
      <w:pPr>
        <w:pStyle w:val="Heading2"/>
      </w:pPr>
      <w:r>
        <w:t>Impact on this document</w:t>
      </w:r>
    </w:p>
    <w:p>
      <w:pPr>
        <w:pStyle w:val="BodyText"/>
      </w:pPr>
      <w:r>
        <w:t>Deployment: a reseed adds the subsidiary org structure. No migration, no code deploy. Rollback removes the subsidiary rows; nothing else is affected.</w:t>
      </w:r>
    </w:p>
    <w:p>
      <w:pPr>
        <w:pStyle w:val="Heading1"/>
      </w:pPr>
      <w:r>
        <w:t>Implementation Status Update 36 (28 August 2026) — Inventory Section Activated</w:t>
      </w:r>
    </w:p>
    <w:p>
      <w:pPr>
        <w:pStyle w:val="BodyText"/>
      </w:pPr>
      <w:r>
        <w:t>The Admin sidebar's Inventory item, under ADMIN / BACKEND, was a “Coming Soon” placeholder from the navigation redesign. It is now a working screen: company-level stock on hand, per-product re-order points, stock adjustments and an immutable movement ledger.</w:t>
      </w:r>
    </w:p>
    <w:p>
      <w:pPr>
        <w:pStyle w:val="BodyText"/>
      </w:pPr>
      <w:r>
        <w:t>What was delivered:</w:t>
      </w:r>
    </w:p>
    <w:p>
      <w:pPr>
        <w:pStyle w:val="BodyText"/>
      </w:pPr>
      <w:r>
        <w:t>•  Stock on hand: each product keeps one stock-on-hand figure (products.stock_quantity). The Inventory screen lists every product with its code, category, unit of measure, on-hand quantity, unit price, stock value and a status of In stock / Low / Out of stock.</w:t>
      </w:r>
    </w:p>
    <w:p>
      <w:pPr>
        <w:pStyle w:val="BodyText"/>
      </w:pPr>
      <w:r>
        <w:t>•  Re-order points: a new products.reorder_point column. A product at or below its re-order point is flagged Low; at zero it is flagged Out of stock. Set or cleared from the screen (PUT /inventory/products/{id}/reorder-point).</w:t>
      </w:r>
    </w:p>
    <w:p>
      <w:pPr>
        <w:pStyle w:val="BodyText"/>
      </w:pPr>
      <w:r>
        <w:t>•  Stock adjustments: POST /inventory/adjustments records one change: receipt (goods in, adds), issue (goods out, subtracts, with an over-issue guard — 409 if more than is in stock), or count (a physical count; the counted figure becomes the on-hand and the signed difference is recorded). Requires product.manage.</w:t>
      </w:r>
    </w:p>
    <w:p>
      <w:pPr>
        <w:pStyle w:val="BodyText"/>
      </w:pPr>
      <w:r>
        <w:t>•  Movement ledger: a new stock_movements table (with a StockMovementType enum: receipt / issue / count). Every adjustment writes an immutable row — signed quantity, resulting balance, reason, reference, user and timestamp — shown newest-first on the screen's Movements tab and readable at GET /inventory/movements.</w:t>
      </w:r>
    </w:p>
    <w:p>
      <w:pPr>
        <w:pStyle w:val="BodyText"/>
      </w:pPr>
      <w:r>
        <w:t>•  Access &amp; audit: reads are scoped per BR-01 exactly like the product list (a user sees stock only for companies in their scope, unless they hold product.viewAll group-wide). Every adjustment and threshold change is written to the audit trail (inventory.stock.adjusted, inventory.reorder_point.updated).</w:t>
      </w:r>
    </w:p>
    <w:p>
      <w:pPr>
        <w:pStyle w:val="BodyText"/>
      </w:pPr>
      <w:r>
        <w:t>Backend: a new module, src/inventory (controller, service, DTOs), registered in app.module.ts. Migration 20260828120000_inventory_stock_movements adds products.reorder_point, the stock_movements table and the StockMovementType enum. The seed gives the catalogue products a re-order point and an opening-balance movement so the screen and ledger have content on a fresh database.</w:t>
      </w:r>
    </w:p>
    <w:p>
      <w:pPr>
        <w:pStyle w:val="BodyText"/>
      </w:pPr>
      <w:r>
        <w:t>Frontend: a new page, src/pages/Inventory.jsx, replacing the &lt;ComingSoon&gt; stub for /inventory in App.jsx; the sidebar entry loses its “Soon” badge. KPI tiles (stock-keeping units, low stock, out of stock, total stock value), a company selector, search and a low/out-of-stock filter, an Adjust dialog (type, quantity, reason, reference, with the projected new on-hand shown) and a Re-order point dialog. The route is permission-filtered like every other admin screen — visible to holders of product.viewAll or product.manage.</w:t>
      </w:r>
    </w:p>
    <w:p>
      <w:pPr>
        <w:pStyle w:val="BodyText"/>
      </w:pPr>
      <w:r>
        <w:t>Scope boundary: this is company-level inventory only — one stock figure per product. Per-branch stock balances, bin/location tracking and inter-branch transfers remain Warehouse Management System scope (20_Warehouse Management System (WMS) — Feature Specification, Module 2 “Core Inventory Management”); this Update is the first working slice of that module on the shared platform. No change to roles or permissions — the existing product.viewAll / product.manage pair gates the screen.</w:t>
      </w:r>
    </w:p>
    <w:p>
      <w:pPr>
        <w:pStyle w:val="Heading2"/>
      </w:pPr>
      <w:r>
        <w:t>Impact on this document</w:t>
      </w:r>
    </w:p>
    <w:p>
      <w:pPr>
        <w:pStyle w:val="BodyText"/>
      </w:pPr>
      <w:r>
        <w:t>Deployment: one migration (20260828120000_inventory_stock_movements) — additive only, no data backfill required (reorder_point is nullable, the ledger starts empty). The reseed adds demo re-order points and opening-balance movements. Rollback drops the table, column and enum; product data is untouched.</w:t>
      </w:r>
    </w:p>
    <w:p>
      <w:pPr>
        <w:pStyle w:val="Heading1"/>
      </w:pPr>
      <w:r>
        <w:t>Implementation Status Update 37 (28 August 2026) — Marketing &amp; Promos and CMS / Site Builder Activated</w:t>
      </w:r>
    </w:p>
    <w:p>
      <w:pPr>
        <w:pStyle w:val="BodyText"/>
      </w:pPr>
      <w:r>
        <w:t>Two more ADMIN / BACKEND placeholders — Marketing &amp; Promos and CMS / Site Builder — are now working screens, and the customer storefront consumes both.</w:t>
      </w:r>
    </w:p>
    <w:p>
      <w:pPr>
        <w:pStyle w:val="BodyText"/>
      </w:pPr>
      <w:r>
        <w:t>What was delivered:</w:t>
      </w:r>
    </w:p>
    <w:p>
      <w:pPr>
        <w:pStyle w:val="BodyText"/>
      </w:pPr>
      <w:r>
        <w:t>•  Discount codes: a new discount_codes table (DiscountType percentage/fixed, DiscountCodeStatus). Staff create codes with a value, optional minimum order, validity window and redemption cap; the storefront validates a code at the cart (POST /customer-portal/discount-codes/validate) and the order-placement path re-validates and redeems it once, taking the discount off the subtotal before VAT and delivery. Orders gain discount_code and discount_amount columns.</w:t>
      </w:r>
    </w:p>
    <w:p>
      <w:pPr>
        <w:pStyle w:val="BodyText"/>
      </w:pPr>
      <w:r>
        <w:t>•  Promo banners: a new promo_banners table. Staff manage heading, body, link, placement, schedule and active flag; the storefront home renders the currently-live banners (GET /customer-portal/promo-banners).</w:t>
      </w:r>
    </w:p>
    <w:p>
      <w:pPr>
        <w:pStyle w:val="BodyText"/>
      </w:pPr>
      <w:r>
        <w:t>•  CMS content pages: a new content_blocks table (ContentBlockStatus draft/published). Each page has a working copy and a published snapshot; editing never affects what the storefront serves until Publish. The storefront renders published pages at /page/{slug} (GET /customer-portal/content, /content/{slug}) — About, Terms, Delivery are seeded.</w:t>
      </w:r>
    </w:p>
    <w:p>
      <w:pPr>
        <w:pStyle w:val="BodyText"/>
      </w:pPr>
      <w:r>
        <w:t>•  Access &amp; audit: two new permission pairs — marketing.manage / marketing.viewAll (operations domain) and cms.manage / cms.viewAll (governance domain). Reads need the viewAll or the manage code; writes need manage. Discount codes and banners are per-company and scoped per BR-01; content pages are site-wide. Every change is audited (marketing.discount_code.*, marketing.banner.*, cms.content_block.*).</w:t>
      </w:r>
    </w:p>
    <w:p>
      <w:pPr>
        <w:pStyle w:val="BodyText"/>
      </w:pPr>
      <w:r>
        <w:t>Backend: new modules src/marketing and src/cms, plus a customer-portal/storefront sub-module for the public content and authenticated promo/validate endpoints. A shared, database-free evaluateDiscountCode() is used by both the storefront validate endpoint and OrdersService so the cart and the placed order can never disagree on the discount. Migration 20260828160000_marketing_promos_cms adds the three tables, their enums and the two order columns. The seed adds demo discount codes (including an expired one), a promo banner and the About / Terms / Delivery content pages, and wires the four permissions to Super Administrator (all), Managing Director (viewAll), IT Administrator (all, demo break-glass) and Sales Manager (marketing).</w:t>
      </w:r>
    </w:p>
    <w:p>
      <w:pPr>
        <w:pStyle w:val="BodyText"/>
      </w:pPr>
      <w:r>
        <w:t>Admin frontend: new pages src/pages/Marketing.jsx (Discount codes / Banners tabs with CRUD and activate/deactivate) and src/pages/Cms.jsx (page list + editor + Save draft / Publish / Unpublish / Delete), replacing the &lt;ComingSoon&gt; stubs for /marketing and /cms in App.jsx; both sidebar entries lose their “Soon” badge and are permission-filtered on the new codes.</w:t>
      </w:r>
    </w:p>
    <w:p>
      <w:pPr>
        <w:pStyle w:val="BodyText"/>
      </w:pPr>
      <w:r>
        <w:t>Storefront: the cart gains a discount-code field that applies and shows a discount line and revised total; the home page renders active promo banners; a new public /page/{slug} route renders published content, linked from the Landing footer (About / Terms &amp; Conditions / Delivery &amp; Returns).</w:t>
      </w:r>
    </w:p>
    <w:p>
      <w:pPr>
        <w:pStyle w:val="Heading2"/>
      </w:pPr>
      <w:r>
        <w:t>Impact on this document</w:t>
      </w:r>
    </w:p>
    <w:p>
      <w:pPr>
        <w:pStyle w:val="BodyText"/>
      </w:pPr>
      <w:r>
        <w:t>Deployment: one additive migration (20260828160000_marketing_promos_cms) — no backfill (new columns default to 0 / null, new tables start empty). The reseed adds demo codes, a banner and three content pages, and the four new permission rows and their role links. Rollback drops the three tables, the enums and the two order columns.</w:t>
      </w:r>
    </w:p>
    <w:p>
      <w:pPr>
        <w:pStyle w:val="Heading1"/>
      </w:pPr>
      <w:r>
        <w:t>Implementation Status Update 38 (28 August 2026) — Managing Director Full Control of Marketing &amp; CMS</w:t>
      </w:r>
    </w:p>
    <w:p>
      <w:pPr>
        <w:pStyle w:val="BodyText"/>
      </w:pPr>
      <w:r>
        <w:t>When Marketing &amp; Promos and CMS / Site Builder were activated earlier today, the Managing Director held only the read (viewAll) permissions for both — the create / edit / publish controls appeared but writes were refused (403). At the Managing Director's request, the role now holds the full manage permissions for both sections.</w:t>
      </w:r>
    </w:p>
    <w:p>
      <w:pPr>
        <w:pStyle w:val="BodyText"/>
      </w:pPr>
      <w:r>
        <w:t>What changed:</w:t>
      </w:r>
    </w:p>
    <w:p>
      <w:pPr>
        <w:pStyle w:val="BodyText"/>
      </w:pPr>
      <w:r>
        <w:t>•  Managing Director role: gains marketing.manage and cms.manage (it already held marketing.viewAll and cms.viewAll). Seeded in seed.ts alongside the organization.company.manage / identity.user.manage the role already holds for the subsidiary lifecycle.</w:t>
      </w:r>
    </w:p>
    <w:p>
      <w:pPr>
        <w:pStyle w:val="BodyText"/>
      </w:pPr>
      <w:r>
        <w:t>•  Marketing &amp; Promos: the Managing Director can now view, create, update, delete and execute (activate / deactivate) discount codes, and view, create, update and delete promotional banners, group-wide.</w:t>
      </w:r>
    </w:p>
    <w:p>
      <w:pPr>
        <w:pStyle w:val="BodyText"/>
      </w:pPr>
      <w:r>
        <w:t>•  CMS / Site Builder: the Managing Director can now view, create, update, publish, unpublish and delete storefront content pages.</w:t>
      </w:r>
    </w:p>
    <w:p>
      <w:pPr>
        <w:pStyle w:val="BodyText"/>
      </w:pPr>
      <w:r>
        <w:t>•  New endpoint: DELETE /api/v1/marketing/discount-codes/{id} was added so a discount code can be removed outright, not only deactivated. It is safe because orders.discount_code stores the code as text, so an order placed with a code keeps its record after the code is deleted. Requires marketing.manage.</w:t>
      </w:r>
    </w:p>
    <w:p>
      <w:pPr>
        <w:pStyle w:val="BodyText"/>
      </w:pPr>
      <w:r>
        <w:t>No schema change and no change to the delegation rules — marketing.manage is an operations-domain permission and cms.manage a governance-domain permission, both already delegable by the Managing Director (all domains, group-wide). The permission guard is an any-of match on the caller's effective permissions, so adding the two codes to the role is sufficient; the admin screens already showed the controls to this role because it holds identity.user.manage.</w:t>
      </w:r>
    </w:p>
    <w:p>
      <w:pPr>
        <w:pStyle w:val="BodyText"/>
      </w:pPr>
      <w:r>
        <w:t>Verified as the Managing Director: create, update, deactivate and delete a discount code; create, update and delete a promo banner; create, update, publish, unpublish and delete a content page — every call returned 200 or 201. A role without the codes (Auditor) is still refused (403).</w:t>
      </w:r>
    </w:p>
    <w:p>
      <w:pPr>
        <w:pStyle w:val="Heading2"/>
      </w:pPr>
      <w:r>
        <w:t>Impact on this document</w:t>
      </w:r>
    </w:p>
    <w:p>
      <w:pPr>
        <w:pStyle w:val="BodyText"/>
      </w:pPr>
      <w:r>
        <w:t>Deployment: a reseed applies the two new role-permission rows. No migration. Rollback removes the two rows from the Managing Director role.</w:t>
      </w:r>
    </w:p>
    <w:p>
      <w:pPr>
        <w:pStyle w:val="Heading1"/>
      </w:pPr>
      <w:r>
        <w:t>Implementation Status Update 39 (28 August 2026) — Localisation Extended to Promo Banners &amp; CMS Content</w:t>
      </w:r>
    </w:p>
    <w:p>
      <w:pPr>
        <w:pStyle w:val="BodyText"/>
      </w:pPr>
      <w:r>
        <w:t>The database-content localisation delivered earlier (read in the customer's language, store the customer's input in English) covered the catalogue, support tickets and delivery addresses. The two storefront surfaces activated since then — promotional banners and CMS content pages — were still served as stored English. They now pass through the same translation seam.</w:t>
      </w:r>
    </w:p>
    <w:p>
      <w:pPr>
        <w:pStyle w:val="BodyText"/>
      </w:pPr>
      <w:r>
        <w:t>What changed:</w:t>
      </w:r>
    </w:p>
    <w:p>
      <w:pPr>
        <w:pStyle w:val="BodyText"/>
      </w:pPr>
      <w:r>
        <w:t>•  Promo banners: GET /customer-portal/promo-banners now honours Accept-Language: heading, body and link label are rendered in the customer's chosen language through the content-translation glossary, and digits are shown in the language's own script (e.g. Arabic-Indic for Arabic).</w:t>
      </w:r>
    </w:p>
    <w:p>
      <w:pPr>
        <w:pStyle w:val="BodyText"/>
      </w:pPr>
      <w:r>
        <w:t>•  CMS content pages: GET /customer-portal/content and /content/{slug} now honour Accept-Language: the page title and body are rendered in the customer's language. The canonical stored value stays English; only the response is localised.</w:t>
      </w:r>
    </w:p>
    <w:p>
      <w:pPr>
        <w:pStyle w:val="BodyText"/>
      </w:pPr>
      <w:r>
        <w:t>•  Discount-code messages: the checkout discount validator returns a stable messageKey (with parameters where needed, e.g. the minimum order amount) instead of only an English sentence, so the storefront shows “that code has expired”, “this code needs a subtotal of at least …”, etc. in the chosen language. An English message is still returned as a fallback and is what the 409 on order placement carries server-side.</w:t>
      </w:r>
    </w:p>
    <w:p>
      <w:pPr>
        <w:pStyle w:val="BodyText"/>
      </w:pPr>
      <w:r>
        <w:t>•  Glossary + provider seam: the curated glossary gains the seeded banner and content strings for the eight fully-translated languages (Swahili, Luganda, French, Spanish, Portuguese, German, Italian, Arabic). Body prose beyond the curated entries still falls through to the translation provider, whose bundled implementation is a no-op until a real machine-translation service is configured — the same documented boundary as for product descriptions and ticket bodies.</w:t>
      </w:r>
    </w:p>
    <w:p>
      <w:pPr>
        <w:pStyle w:val="BodyText"/>
      </w:pPr>
      <w:r>
        <w:t>Write direction is unchanged and was re-verified: a customer typing in another language still has their input normalised to English on save, with the original wording kept alongside (support tickets, delivery addresses). Nothing in the promo / CMS flows is customer-typed — a discount code is a language-neutral identifier and the subtotal is computed client-side in Western digits — so no new store-in-English handling was required there.</w:t>
      </w:r>
    </w:p>
    <w:p>
      <w:pPr>
        <w:pStyle w:val="BodyText"/>
      </w:pPr>
      <w:r>
        <w:t>Changes: marketing.service.ts and cms.service.ts take a language argument and localise their storefront responses via ContentTranslationService; customer-storefront.controller.ts reads Accept-Language and resolves it; discount.util.ts adds messageKey / messageParams to every outcome; the storefront cart renders the message key through its i18n catalogue; content-glossary.ts and the eight-language storefront locale files gain the new strings. No schema change. Verified: promo banner and About / Terms / Delivery pages render in French, Swahili, German and Arabic (with Arabic-Indic digits); the English view is unchanged; a delivery address typed in Swahili is still stored as English with the original kept.</w:t>
      </w:r>
    </w:p>
    <w:p>
      <w:pPr>
        <w:pStyle w:val="Heading2"/>
      </w:pPr>
      <w:r>
        <w:t>Impact on this document</w:t>
      </w:r>
    </w:p>
    <w:p>
      <w:pPr>
        <w:pStyle w:val="BodyText"/>
      </w:pPr>
      <w:r>
        <w:t>Deployment: code and locale-file change only; a reseed refreshes the demo banner and content pages. No migration, no backfill.</w:t>
      </w:r>
    </w:p>
    <w:p>
      <w:pPr>
        <w:pStyle w:val="Heading1"/>
      </w:pPr>
      <w:r>
        <w:t>Implementation Status Update 40 (28 August 2026) — HR Dashboard &amp; Departments Sections Activated</w:t>
      </w:r>
    </w:p>
    <w:p>
      <w:pPr>
        <w:pStyle w:val="BodyText"/>
      </w:pPr>
      <w:r>
        <w:t>Two HUMAN RESOURCES placeholders from the navigation redesign — HR Dashboard and Departments — are now working screens.</w:t>
      </w:r>
    </w:p>
    <w:p>
      <w:pPr>
        <w:pStyle w:val="BodyText"/>
      </w:pPr>
      <w:r>
        <w:t>What was delivered:</w:t>
      </w:r>
    </w:p>
    <w:p>
      <w:pPr>
        <w:pStyle w:val="BodyText"/>
      </w:pPr>
      <w:r>
        <w:t>•  HR Dashboard: a new read-only endpoint GET /api/v1/hr/dashboard aggregates the employee, attendance, leave and recruitment modules into four groups: headcount (active / inactive, and by company, branch, department and contract type); attendance over the last 30 days (records, absence rate, late rate, present / half-day); recruitment (open vacancies, positions open, awaiting approval, and the candidate pipeline by stage); and upcoming events over the next 30 days (contracts ending, probation ending, approved leave starting). Visible to any holder of an HR viewAll permission (employee / recruitment / attendance / leave / performance); figures are group-wide for those holders and limited to the caller's companies otherwise.</w:t>
      </w:r>
    </w:p>
    <w:p>
      <w:pPr>
        <w:pStyle w:val="BodyText"/>
      </w:pPr>
      <w:r>
        <w:t>•  Departments: a dedicated management screen. A new endpoint GET /api/v1/organization/departments lists every department across the companies in the caller's scope, each with its company name and current headcount. Create, rename and delete reuse the existing organization endpoints (POST /organization/companies/{id}/departments, PATCH and DELETE /organization/departments/{id}); the delete is still blocked (409) while staff are assigned. Writes require organization.company.manage; the list is also visible to organization.company.viewAll / employee.viewAll / recruitment.viewAll holders as a read-only view.</w:t>
      </w:r>
    </w:p>
    <w:p>
      <w:pPr>
        <w:pStyle w:val="BodyText"/>
      </w:pPr>
      <w:r>
        <w:t>•  Demo data: Morise Agro Ltd gains three departments (Field Operations, Finance &amp; Administration, Warehouse &amp; Distribution) with its three employees assigned one each; about three working weeks of recent attendance records with a realistic scatter of late / absent days; one fixed-term contract ending in about three weeks; and one approved leave starting in about ten days — so both screens show live figures on a fresh database.</w:t>
      </w:r>
    </w:p>
    <w:p>
      <w:pPr>
        <w:pStyle w:val="BodyText"/>
      </w:pPr>
      <w:r>
        <w:t>Backend: a new module src/hr-dashboard (controller + service), registered in app.module.ts; src/organization/departments gains a listAll() service method and a GET route on the /organization/departments controller. No schema change and no new permission — the HR Dashboard is gated on the existing HR viewAll codes, Departments management on the existing organization.company.manage.</w:t>
      </w:r>
    </w:p>
    <w:p>
      <w:pPr>
        <w:pStyle w:val="BodyText"/>
      </w:pPr>
      <w:r>
        <w:t>Admin frontend: new pages src/pages/Hr.jsx (KPI tiles + breakdown tables + pipeline + upcoming-events lists) and src/pages/Departments.jsx (filterable table with headcount, plus New / Rename / Delete for managers), replacing the &lt;ComingSoon&gt; stubs for /hr and /departments in App.jsx; both sidebar entries lose their “Soon” badge and are permission-filtered. Verified: as the Managing Director the HR Dashboard returns headcount 3 across 3 departments, 45 attendance records (4.4% absence, 13.3% late), the recruitment pipeline, and the seeded contract-ending and leave-starting rows; a Human Resources Manager sees the same (group-wide for its own function); a Sales Manager without an HR viewAll permission is refused (403). Departments create / rename / delete all succeed, and deleting a department that still has staff is refused (409).</w:t>
      </w:r>
    </w:p>
    <w:p>
      <w:pPr>
        <w:pStyle w:val="Heading2"/>
      </w:pPr>
      <w:r>
        <w:t>Impact on this document</w:t>
      </w:r>
    </w:p>
    <w:p>
      <w:pPr>
        <w:pStyle w:val="BodyText"/>
      </w:pPr>
      <w:r>
        <w:t>Deployment: code-only plus a reseed that adds the Agro departments, recent attendance and the two upcoming events. No migration, no backfill. Rollback removes the two screens and the seeded demo rows.</w:t>
      </w:r>
    </w:p>
    <w:p>
      <w:pPr>
        <w:pStyle w:val="Heading1"/>
      </w:pPr>
      <w:r>
        <w:t>Implementation Status Update 41 (28 August 2026) — Shift Scheduling &amp; Payroll Sections Activated</w:t>
      </w:r>
    </w:p>
    <w:p>
      <w:pPr>
        <w:pStyle w:val="BodyText"/>
      </w:pPr>
      <w:r>
        <w:t>The last two HUMAN RESOURCES placeholders from the navigation redesign — Shift Scheduling and Payroll — are now working modules.</w:t>
      </w:r>
    </w:p>
    <w:p>
      <w:pPr>
        <w:pStyle w:val="BodyText"/>
      </w:pPr>
      <w:r>
        <w:t>What was delivered:</w:t>
      </w:r>
    </w:p>
    <w:p>
      <w:pPr>
        <w:pStyle w:val="BodyText"/>
      </w:pPr>
      <w:r>
        <w:t>•  Shift Scheduling: a new roster_entries table (RosterEntry: one employee x one calendar day -&gt; one shift template, status planned or published; one entry per employee per day, a second is rejected as a clash). Endpoints GET/POST/DELETE /api/v1/shift-scheduling/entries, POST /shift-scheduling/publish (promotes a date range from planned to published and notifies the affected employees) and GET /shift-scheduling/coverage (per-day staffed count, unrostered count and clash flags — an employee rostered on a day they are also on approved leave). Roster writes reuse attendance.manage; no new permission was added for shift scheduling.</w:t>
      </w:r>
    </w:p>
    <w:p>
      <w:pPr>
        <w:pStyle w:val="BodyText"/>
      </w:pPr>
      <w:r>
        <w:t>•  Payroll: a monthly payroll run. Employee gains gross_salary and pay_frequency. New payroll_runs, payslips and salary_advances tables with their status enums. POST /api/v1/payroll/runs computes, per active employee with a gross salary, the Uganda PAYE (income-tax bands) and NSSF (5% employee, 10% employer) figures plus any approved salary-advance instalment, and produces a payslip; the run moves draft -&gt; approved -&gt; paid. Paying it posts a balanced journal entry (Dr staff costs = gross + employer NSSF; Cr PAYE Payable, NSSF Payable, Staff Advances and Salaries Payable) and advances each recovered salary advance.</w:t>
      </w:r>
    </w:p>
    <w:p>
      <w:pPr>
        <w:pStyle w:val="BodyText"/>
      </w:pPr>
      <w:r>
        <w:t>•  Salary advances: GET /payroll/salary-advances, POST (request), and POST .../approve | .../reject. An approved advance is recovered in instalments (amount / instalments, capped at the outstanding balance and never taking net pay below zero) automatically on each payroll run, and flips to recovered when fully repaid.</w:t>
      </w:r>
    </w:p>
    <w:p>
      <w:pPr>
        <w:pStyle w:val="BodyText"/>
      </w:pPr>
      <w:r>
        <w:t>•  Permissions &amp; roles: three new permissions (hr domain): payroll.manage (create a run, request an advance), payroll.approve (approve / pay a run, approve / reject an advance) and payroll.viewAll. Seeded to Super Administrator and IT Administrator (all three), Human Resources Manager (manage + viewAll), Managing Director and Finance Manager (approve + viewAll) — the same prepare-vs-approve split already used for expenses. The delegation rules are unchanged (hr-domain permissions are already delegable by the HR Manager).</w:t>
      </w:r>
    </w:p>
    <w:p>
      <w:pPr>
        <w:pStyle w:val="BodyText"/>
      </w:pPr>
      <w:r>
        <w:t>Backend: new modules src/shift-scheduling and src/payroll (with a database-free src/payroll/uganda-statutory.util.ts for the PAYE / NSSF calculation), registered in app.module.ts. Migration 20260828190000_shift_scheduling_payroll adds the four tables, the three enums and the two Employee columns. The seed sets a gross salary on the demo Agro employees, a published roster for the current week and a planned one for next week, and one approved salary advance.</w:t>
      </w:r>
    </w:p>
    <w:p>
      <w:pPr>
        <w:pStyle w:val="BodyText"/>
      </w:pPr>
      <w:r>
        <w:t>Admin frontend: new pages src/pages/ShiftScheduling.jsx (a weekly employee x day roster grid with a coverage row, add / remove assignment and a one-click Publish) and src/pages/Payroll.jsx (payroll runs with a payslip breakdown and approve / pay / cancel, and a salary-advances tab), replacing the &lt;ComingSoon&gt; stubs for /shift-scheduling and /payroll in App.jsx; both sidebar entries lose their “Soon” badge and are permission-filtered. Verified: a Human Resources Manager builds and publishes a roster and creates a draft payroll run (Agro: 3 staff, gross UGX 5,600,000, PAYE UGX 1,386,000, employee NSSF UGX 280,000, net UGX 3,734,000; PAYE for a UGX 2,800,000 salary computes to UGX 742,000, matching the band schedule); the Managing Director approves and pays it, posting a balanced journal entry (Dr 6,160,000 / Cr 6,160,000) and advancing the seeded salary advance to “recovering” (UGX 200,000 of UGX 600,000); a Sales Manager with no HR permission is refused (403); a duplicate run for the same month is refused (409); a second roster entry for the same employee and day is refused (409).</w:t>
      </w:r>
    </w:p>
    <w:p>
      <w:pPr>
        <w:pStyle w:val="Heading2"/>
      </w:pPr>
      <w:r>
        <w:t>Impact on this document</w:t>
      </w:r>
    </w:p>
    <w:p>
      <w:pPr>
        <w:pStyle w:val="BodyText"/>
      </w:pPr>
      <w:r>
        <w:t>Deployment: one additive migration (20260828190000_shift_scheduling_payroll) — no backfill (the new columns are nullable, the new tables start empty). The reseed adds demo salaries, a roster and a salary advance, and the three payroll permission rows with their role links. Rollback drops the four tables, the enums and the two columns.</w:t>
      </w:r>
    </w:p>
    <w:p>
      <w:pPr>
        <w:pStyle w:val="Heading1"/>
      </w:pPr>
      <w:r>
        <w:t>Implementation Status Update 42 (28 August 2026) — My HR Self-Service Sections Activated</w:t>
      </w:r>
    </w:p>
    <w:p>
      <w:pPr>
        <w:pStyle w:val="BodyText"/>
      </w:pPr>
      <w:r>
        <w:t>The six MY HR placeholders from the navigation redesign — Clock In / Out, My Leave, My Shifts, My Performance, My Payslips and My Salary Advances — are now working self-service screens. Every one is scoped to the Employee record linked to the signed-in user; an account with no linked record sees a friendly notice on each screen.</w:t>
      </w:r>
    </w:p>
    <w:p>
      <w:pPr>
        <w:pStyle w:val="BodyText"/>
      </w:pPr>
      <w:r>
        <w:t>What was delivered:</w:t>
      </w:r>
    </w:p>
    <w:p>
      <w:pPr>
        <w:pStyle w:val="BodyText"/>
      </w:pPr>
      <w:r>
        <w:t>•  New read layer: a new module src/my-hr with GET /api/v1/my-hr/{summary,attendance,leave,shifts,performance,payslips,salary-advances}. Each resolves the caller's Employee via Employee.userId and returns only that person's data — attendance records and today's clock state, leave balances and requests, roster entries, performance reviews and objectives, paid payslips, and salary advances. No permission is required — these are “my own” reads.</w:t>
      </w:r>
    </w:p>
    <w:p>
      <w:pPr>
        <w:pStyle w:val="BodyText"/>
      </w:pPr>
      <w:r>
        <w:t>•  Self-service actions: Clock In / Out calls the existing POST /attendance/clock-in|clock-out (already un-gated and self-resolving); My Leave calls POST /leave/applications and .../cancel; My Performance calls POST /performance/reviews/{id}/self-assessment (which already checks the review belongs to the caller). Only “request a salary advance for myself” is new: POST /api/v1/my-hr/salary-advances creates a requested advance for the caller's employee (the staff endpoint needs payroll.manage), with a one-open-advance-at-a-time guard (409).</w:t>
      </w:r>
    </w:p>
    <w:p>
      <w:pPr>
        <w:pStyle w:val="BodyText"/>
      </w:pPr>
      <w:r>
        <w:t>•  Screens: src/pages/MyHr.jsx — six components. Clock In / Out: today's status, one-tap clock in / out, 30-day present / late / absent counts and a record history. My Leave: balance cards per type and a requests table with Apply and Cancel. My Shifts: the employee's roster (published and planned), today highlighted. My Performance: objectives, reviews, and a self-assessment dialog when one is pending. My Payslips: a payslip list and a breakdown dialog (gross, PAYE, NSSF, advance recovery, net). My Salary Advances: the employee's advances with outstanding balance, and a Request dialog.</w:t>
      </w:r>
    </w:p>
    <w:p>
      <w:pPr>
        <w:pStyle w:val="BodyText"/>
      </w:pPr>
      <w:r>
        <w:t>No schema change and no new permission — the module reads existing tables (attendance_records, leave_balances / leave_applications, roster_entries, performance_reviews / performance_objectives, payslips, salary_advances) and reuses the un-gated self-service actions the attendance, leave and performance modules already expose. The six routes were already marked always-visible in the front-end capability map; they are removed from STUB_ROUTES and the sidebar entries lose their “Soon” badge.</w:t>
      </w:r>
    </w:p>
    <w:p>
      <w:pPr>
        <w:pStyle w:val="BodyText"/>
      </w:pPr>
      <w:r>
        <w:t>Verified with the demo persona whose login is linked to an employee record: the summary returns the linked profile (name, department, company, shift, gross salary); clocking in updates today's state and the 30-day counts; leave balances and the approved / submitted requests display, and a new request can be submitted and cancelled; the roster shows this week's published and next week's planned shifts; the completed performance review and its rating display; requesting a salary advance succeeds and a second concurrent request is refused (409). An account with no linked employee record gets linked:false from the summary and a 404 from the detail endpoints, and each screen shows the “ask HR to link your account” notice.</w:t>
      </w:r>
    </w:p>
    <w:p>
      <w:pPr>
        <w:pStyle w:val="Heading2"/>
      </w:pPr>
      <w:r>
        <w:t>Impact on this document</w:t>
      </w:r>
    </w:p>
    <w:p>
      <w:pPr>
        <w:pStyle w:val="BodyText"/>
      </w:pPr>
      <w:r>
        <w:t>Deployment: code-only, no migration. Rollback removes the my-hr module and restores the six placeholder routes.</w:t>
      </w:r>
    </w:p>
    <w:p>
      <w:pPr>
        <w:pStyle w:val="Heading1"/>
      </w:pPr>
      <w:r>
        <w:t>Implementation Status Update 43 (28 August 2026) — Demo Staff Logins Linked to Employee Records</w:t>
      </w:r>
    </w:p>
    <w:p>
      <w:pPr>
        <w:pStyle w:val="BodyText"/>
      </w:pPr>
      <w:r>
        <w:t>The My HR self-service screens work only for a login that is linked to an employee record (Employee.userId). Until now only one demo persona (the Branch Manager) was linked, so every other demo login saw the “your account is not linked to an employee record” notice on those screens. All the seeded staff logins are now linked.</w:t>
      </w:r>
    </w:p>
    <w:p>
      <w:pPr>
        <w:pStyle w:val="BodyText"/>
      </w:pPr>
      <w:r>
        <w:t>What changed:</w:t>
      </w:r>
    </w:p>
    <w:p>
      <w:pPr>
        <w:pStyle w:val="BodyText"/>
      </w:pPr>
      <w:r>
        <w:t>•  Linked accounts: the Managing Director, IT Administrator and Auditor logins are linked to new employee records in Morise Holdings Limited; the Human Resources Manager, Finance Manager, Sales Manager and Procurement Manager logins to new records in Morise Agro Ltd. Each record has a job title, department, monthly gross salary and employment start date; the Agro records also have the Day Shift and a published roster for the current week. Every linked employee gets the 2026 leave-balance set (21 annual, 10 sick, 90 maternity, 4 paternity, 5 emergency).</w:t>
      </w:r>
    </w:p>
    <w:p>
      <w:pPr>
        <w:pStyle w:val="BodyText"/>
      </w:pPr>
      <w:r>
        <w:t>•  Effect: signed in as any seeded staff persona, the six My HR screens now show that person's own data — profile summary, attendance and clock state, leave balances, roster, performance reviews, payslips (once a run that includes them is paid) and salary advances — instead of the “not linked” notice. A login still genuinely unlinked (for example a future user created without an employee record) continues to see the notice.</w:t>
      </w:r>
    </w:p>
    <w:p>
      <w:pPr>
        <w:pStyle w:val="BodyText"/>
      </w:pPr>
      <w:r>
        <w:t>This is a seed-data change only — no schema, code or permission change. The linking mechanism already existed (the employee create/update API accepts a userId); the seed now uses it for the demo staff. Side effect: the HR Dashboard headcount and the Departments screen counts rise accordingly (Morise Holdings Limited now has three staffed departments, Morise Agro Ltd seven employees), and a payroll run for either company would include the newly-salaried staff. Verified: each seeded staff login returns linked:true from GET /api/v1/my-hr/summary with a full profile, and the My HR detail endpoints return that person's rows.</w:t>
      </w:r>
    </w:p>
    <w:p>
      <w:pPr>
        <w:pStyle w:val="Heading2"/>
      </w:pPr>
      <w:r>
        <w:t>Impact on this document</w:t>
      </w:r>
    </w:p>
    <w:p>
      <w:pPr>
        <w:pStyle w:val="BodyText"/>
      </w:pPr>
      <w:r>
        <w:t>Deployment: a reseed adds the linked employee rows, leave balances and roster entries. No migration. Rollback clears user_id on those rows (or removes them).</w:t>
      </w:r>
    </w:p>
    <w:p>
      <w:pPr>
        <w:pStyle w:val="Heading1"/>
      </w:pPr>
      <w:r>
        <w:t>Implementation Status Update 44 (28 August 2026) — Financial &amp; Accounting Overview Activated</w:t>
      </w:r>
    </w:p>
    <w:p>
      <w:pPr>
        <w:pStyle w:val="BodyText"/>
      </w:pPr>
      <w:r>
        <w:t>The one remaining placeholder in the whole regrouped navigation — the Financial &amp; Accounting overview landing tile — is now a working read-only screen. With this every entry in the ADMIN / BACKEND, HUMAN RESOURCES, MY HR and FINANCIAL &amp; ACCOUNTING categories opens a working screen.</w:t>
      </w:r>
    </w:p>
    <w:p>
      <w:pPr>
        <w:pStyle w:val="BodyText"/>
      </w:pPr>
      <w:r>
        <w:t>What was delivered:</w:t>
      </w:r>
    </w:p>
    <w:p>
      <w:pPr>
        <w:pStyle w:val="BodyText"/>
      </w:pPr>
      <w:r>
        <w:t>•  Overview endpoint: a new module src/finance with GET /api/v1/finance/overview. It returns three parts. (1) The consolidated group financial position — total assets, liabilities and equity, cash position and bank balances, outstanding receivables and payables, and open-period revenue, expense and net profit, group-wide and per company — reusing the computation the dashboard already performs. (2) “Needs attention” working-capital figures — accounts-payable outstanding amount and count (with overdue and pending-approval counts), accounts-receivable outstanding amount and count (with overdue), expense claims awaiting finance approval, active-asset net book value and disposal requests, and active / on-hold / planned project counts. (3) Period-close status — each company's current financial period with its dates and open/closed state, and the group totals of open and closed periods.</w:t>
      </w:r>
    </w:p>
    <w:p>
      <w:pPr>
        <w:pStyle w:val="BodyText"/>
      </w:pPr>
      <w:r>
        <w:t>•  Screen: src/pages/Finance.jsx — KPI tiles for the group position, a by-company table, a “Needs attention” tile row, a period-close table, and a grid of shortcut cards into the working finance sub-screens (General Ledger &amp; Journals, Accounts Payable, Expenses, Assets, Projects, Reports, Suppliers, Inter-Company). It replaces the &lt;ComingSoon&gt; stub for /finance in App.jsx; the sidebar entry loses its “Soon” badge and STUB_ROUTES is now empty.</w:t>
      </w:r>
    </w:p>
    <w:p>
      <w:pPr>
        <w:pStyle w:val="BodyText"/>
      </w:pPr>
      <w:r>
        <w:t>•  Access: read-only, no new permission. The endpoint is gated on any one of the finance-area permissions — the same list the front-end capability map already uses for the /finance route (accounting / ap / expense / asset / project / supplier / inter-company, in their manage / approve / viewAll forms). A user with none of them is refused (403).</w:t>
      </w:r>
    </w:p>
    <w:p>
      <w:pPr>
        <w:pStyle w:val="BodyText"/>
      </w:pPr>
      <w:r>
        <w:t>No schema change. The DashboardModule now exports its service so the finance overview can reuse the balance-sheet and income computation; everything else is a straightforward aggregation over supplier invoices, customer invoices, expenses, assets, projects and financial periods. Verified: as a Finance Manager the overview returns the consolidated position (group net profit UGX 19,833,800 across five companies), the working-capital figures (AP UGX 500,000 outstanding, AR UGX 15,301,200 with 3 overdue, one expense claim awaiting finance, asset net book value UGX 45,000,000, one active project) and the two open FY2026-Q1 periods; a Sales Manager with no finance permission is refused (403).</w:t>
      </w:r>
    </w:p>
    <w:p>
      <w:pPr>
        <w:pStyle w:val="Heading2"/>
      </w:pPr>
      <w:r>
        <w:t>Impact on this document</w:t>
      </w:r>
    </w:p>
    <w:p>
      <w:pPr>
        <w:pStyle w:val="BodyText"/>
      </w:pPr>
      <w:r>
        <w:t>Deployment: code-only, no migration. Rollback removes the finance module and restores the /finance placeholder.</w:t>
      </w:r>
    </w:p>
    <w:p>
      <w:pPr>
        <w:pStyle w:val="Heading1"/>
      </w:pPr>
      <w:r>
        <w:t>Implementation Status Update 45 (29 August 2026) — Customer Sign-Up, Multi-Identifier Login &amp; Password Reset</w:t>
      </w:r>
    </w:p>
    <w:p>
      <w:pPr>
        <w:pStyle w:val="BodyText"/>
      </w:pPr>
      <w:r>
        <w:t>The Customer Storefront login previously accepted only a staff-issued email or account number and had no self-registration and no password reset. Customers can now sign themselves up, sign in with an email, phone number or account number (or with Google), and reset a forgotten password.</w:t>
      </w:r>
    </w:p>
    <w:p>
      <w:pPr>
        <w:pStyle w:val="BodyText"/>
      </w:pPr>
      <w:r>
        <w:t>What was delivered:</w:t>
      </w:r>
    </w:p>
    <w:p>
      <w:pPr>
        <w:pStyle w:val="BodyText"/>
      </w:pPr>
      <w:r>
        <w:t>•  Sign up: POST /api/v1/customer-portal/auth/register (name, email, optional phone, password, and which Morise company to buy from — listed by the public GET /customer-portal/auth/companies). It creates an active customer with a generated account number and starter terms (a small credit limit and 14-day payment terms, for staff to review in the CRM) and signs the customer straight in. A second account for the same email or phone is refused (409).</w:t>
      </w:r>
    </w:p>
    <w:p>
      <w:pPr>
        <w:pStyle w:val="BodyText"/>
      </w:pPr>
      <w:r>
        <w:t>•  Login by email, phone or account number: the single identifier field now matches a customer's email, account number OR phone. The phone match ignores formatting and country-code style, so “+256 701 234 567”, “0701234567” and “701234567” all resolve to the same account. The 5-attempt lockout is unchanged.</w:t>
      </w:r>
    </w:p>
    <w:p>
      <w:pPr>
        <w:pStyle w:val="BodyText"/>
      </w:pPr>
      <w:r>
        <w:t>•  Sign in with Google: POST /api/v1/customer-portal/auth/google. In production the request carries a verified Google ID token; this offline build trusts the email the “Continue with Google” button sends (a documented seam, like the deferred payment gateway and in-app-only notifications). A known email is signed in passwordlessly; an unknown email auto-registers a Google-linked account.</w:t>
      </w:r>
    </w:p>
    <w:p>
      <w:pPr>
        <w:pStyle w:val="BodyText"/>
      </w:pPr>
      <w:r>
        <w:t>•  Forgot / reset password: POST /customer-portal/auth/forgot-password (by email, phone or account number) issues a one-time token stored hashed with a 30-minute expiry; POST /customer-portal/auth/reset-password consumes it, sets the new password, clears any lockout and revokes every active session. With no SMTP/SMS in this build the plain token is returned in the response in dev so the flow completes end to end; a real deployment e-mails / SMSes a link instead. The forgot-password response is identical whether or not an account matched, so it never reveals which identifiers are registered.</w:t>
      </w:r>
    </w:p>
    <w:p>
      <w:pPr>
        <w:pStyle w:val="BodyText"/>
      </w:pPr>
      <w:r>
        <w:t>Backend: src/customer-portal/auth gains the four endpoints plus the companies list on the existing CustomerAuthController /Service; a new customer_password_reset_tokens table and two Customer columns (self_registered, google_linked) via migration 20260829090000_customer_self_service_auth. Every new endpoint is rate-limited. Storefront: new pages /register, /forgot-password and /reset-password, a “Continue with Google” component, and the login screen updated with the new identifier label, a “Forgot your password?” link and a “Create an account” link; the auth strings are added to the eight fully-translated languages.</w:t>
      </w:r>
    </w:p>
    <w:p>
      <w:pPr>
        <w:pStyle w:val="BodyText"/>
      </w:pPr>
      <w:r>
        <w:t>Verified end to end: a new customer registers and is signed in with a generated account number; the same customer then signs in with the email, with the phone in three different formats, and with the account number; a duplicate registration is refused (409); Google sign-in logs an existing customer in and auto-registers a new one; a reset token issued by forgot-password lets the customer set a new password, after which the old password is rejected and the token cannot be reused (401); forgot-password for an unknown identifier still returns 200 with no token.</w:t>
      </w:r>
    </w:p>
    <w:p>
      <w:pPr>
        <w:pStyle w:val="Heading2"/>
      </w:pPr>
      <w:r>
        <w:t>Impact on this document</w:t>
      </w:r>
    </w:p>
    <w:p>
      <w:pPr>
        <w:pStyle w:val="BodyText"/>
      </w:pPr>
      <w:r>
        <w:t>Deployment: one additive migration (20260829090000_customer_self_service_auth) — no backfill (the new columns default to false, the token table starts empty). Configure a Google OAuth client and an e-mail / SMS provider in a real deployment; without them the seams keep the flow demonstrable. Rollback drops the token table and the two columns.</w:t>
      </w:r>
    </w:p>
    <w:p>
      <w:pPr>
        <w:pStyle w:val="Heading1"/>
      </w:pPr>
      <w:r>
        <w:t>Implementation Status Update 46 (29 August 2026) — One Storefront Across Every Subsidiary and Its Branches</w:t>
      </w:r>
    </w:p>
    <w:p>
      <w:pPr>
        <w:pStyle w:val="BodyText"/>
      </w:pPr>
      <w:r>
        <w:t>The Customer Storefront previously showed only the products of the one Morise company on the customer's account. It now shows the priced, active products and services of every subsidiary in the holding group, each listing tagged with the subsidiary that sells it and the branch that produces or fulfils it, and the customer's own screens always show which subsidiary and branch their account belongs to.</w:t>
      </w:r>
    </w:p>
    <w:p>
      <w:pPr>
        <w:pStyle w:val="BodyText"/>
      </w:pPr>
      <w:r>
        <w:t>What was delivered:</w:t>
      </w:r>
    </w:p>
    <w:p>
      <w:pPr>
        <w:pStyle w:val="BodyText"/>
      </w:pPr>
      <w:r>
        <w:t>•  Group catalogue: GET /api/v1/customer-portal/catalog/products now resolves the customer's holding group (the root holding company plus every active subsidiary) and lists all of their priced, active products, each carrying companyId / companyName and branchId / branchName / branchAddress. New companyId and branchId query filters; GET /customer-portal/catalog/categories spans the group; a new GET /customer-portal/catalog/subsidiaries returns the holding company plus each subsidiary with its branch list and its branch and product counts.</w:t>
      </w:r>
    </w:p>
    <w:p>
      <w:pPr>
        <w:pStyle w:val="BodyText"/>
      </w:pPr>
      <w:r>
        <w:t>•  Branch attribution: a nullable branch_id on products (the branch that produces / stocks / fulfils the item) and a nullable home_branch_id on customers (the branch of the customer's own subsidiary that serves the account), plus a real orders.company_id → companies foreign key, via migration 20260829120000_storefront_group_catalog_branch_attribution. Sign-up gains an optional home-branch picker backed by a public GET /customer-portal/auth/branches?companyId=.</w:t>
      </w:r>
    </w:p>
    <w:p>
      <w:pPr>
        <w:pStyle w:val="BodyText"/>
      </w:pPr>
      <w:r>
        <w:t>•  “Which subsidiary and branch is mine”: GET /customer-portal/me and the login / refresh token response now return companyId / companyName, homeBranchId / homeBranchName / homeBranchAddress and the holding company name; the storefront shows them in the header, on My Account and against every product.</w:t>
      </w:r>
    </w:p>
    <w:p>
      <w:pPr>
        <w:pStyle w:val="BodyText"/>
      </w:pPr>
      <w:r>
        <w:t>•  Checkout across subsidiaries: an order — with its invoice and balanced GL posting — belongs to the selling subsidiary, so a basket is placed as one order per subsidiary. The storefront groups the cart by selling company and posts each group in turn; the API rejects a single order that mixes companies (409). A discount code, which belongs to one subsidiary, is offered only on a single-company cart. The customer's credit limit stays one account-wide facility, checked across every subsidiary's invoices.</w:t>
      </w:r>
    </w:p>
    <w:p>
      <w:pPr>
        <w:pStyle w:val="BodyText"/>
      </w:pPr>
      <w:r>
        <w:t>•  Storefront: the Shop page gains company and branch filters and a per-card “company · branch” tag; a new Subsidiaries directory page lists every company in the group with its branches and counts; the cart is sectioned by fulfilling subsidiary with per-company subtotals and a “placed as N separate orders” note; My Account shows “you buy through &lt;subsidiary&gt; · &lt;branch&gt;, part of &lt;holding&gt;”; the new strings are added to the eight fully-translated languages.</w:t>
      </w:r>
    </w:p>
    <w:p>
      <w:pPr>
        <w:pStyle w:val="BodyText"/>
      </w:pPr>
      <w:r>
        <w:t>•  Seed: Morise Agro Ltd's eight products are attributed to its Kira HQ and Mbale branches, and Morise Logistics Ltd is given a four-item priced service catalogue (road freight Kampala–Mombasa and Kampala–Kigali, last-mile delivery, pallet storage) on its Jinja branch, so the group shop is genuinely multi-company; the demo portal customers are given a home branch.</w:t>
      </w:r>
    </w:p>
    <w:p>
      <w:pPr>
        <w:pStyle w:val="BodyText"/>
      </w:pPr>
      <w:r>
        <w:t>Verified end to end: signed in as the Highland Traders Ltd portal account (a Morise Agro customer), the shop lists all twelve products across Morise Agro Ltd and Morise Logistics Ltd, each tagged with its company and branch; the subsidiaries endpoint lists all four subsidiaries with branch and product counts; the company and branch filters narrow the list; GET /me returns the subsidiary, home branch and holding company. A cart mixing Agro and Logistics items is refused (409); a Logistics-only order places ORD-2026-0001 in Morise Logistics Ltd's books, with INV-2026-0001 and a posted sale journal entry (JE-2026-0005) in that company. Backend tsc and both front-end builds are clean.</w:t>
      </w:r>
    </w:p>
    <w:p>
      <w:pPr>
        <w:pStyle w:val="Heading2"/>
      </w:pPr>
      <w:r>
        <w:t>Impact on this document</w:t>
      </w:r>
    </w:p>
    <w:p>
      <w:pPr>
        <w:pStyle w:val="BodyText"/>
      </w:pPr>
      <w:r>
        <w:t>Deployment — one migration (20260829120000) plus a reseed; no configuration change. Otherwise a front-end and token-payload change only.</w:t>
      </w:r>
    </w:p>
    <w:p>
      <w:pPr>
        <w:pStyle w:val="Heading1"/>
      </w:pPr>
      <w:r>
        <w:t>Implementation Status Update 47 (29 August 2026) — Clearing / Forwarding and Warehouse-Management Catalogues Added to the Group Storefront</w:t>
      </w:r>
    </w:p>
    <w:p>
      <w:pPr>
        <w:pStyle w:val="BodyText"/>
      </w:pPr>
      <w:r>
        <w:t>Update 46 made the Customer Storefront a group shop but only two subsidiaries had a priced catalogue (Morise Agro Ltd and Morise Logistics Ltd). The remaining two subsidiaries — Morise Clearing &amp; Forwarding Ltd and Morise Warehouse Management Ltd — now also sell in the storefront, so a customer sees the goods and services of all four Morise subsidiaries in one shop.</w:t>
      </w:r>
    </w:p>
    <w:p>
      <w:pPr>
        <w:pStyle w:val="BodyText"/>
      </w:pPr>
      <w:r>
        <w:t>What was delivered (seed data only — no code or schema change; the group-catalogue engine from Update 46 already supports any number of selling subsidiaries):</w:t>
      </w:r>
    </w:p>
    <w:p>
      <w:pPr>
        <w:pStyle w:val="BodyText"/>
      </w:pPr>
      <w:r>
        <w:t>•  Morise Clearing &amp; Forwarding Ltd — six priced services on its Kampala HQ, Entebbe Airport, Malaba and Busia branches: import customs clearance (per entry), air import clearance at Entebbe (per AWB), ocean freight forwarding Mombasa–Kampala (per 20ft container), air freight consolidation (per kg), transit bond &amp; T1 documentation on the Malaba corridor (per consignment), and Certificate of Origin &amp; export-permit handling (per set). Categories: Customs Clearance, Freight Forwarding, Transit &amp; Documentation.</w:t>
      </w:r>
    </w:p>
    <w:p>
      <w:pPr>
        <w:pStyle w:val="BodyText"/>
      </w:pPr>
      <w:r>
        <w:t>•  Morise Warehouse Management Ltd — six priced services on its Kampala Central, Jinja and Mbarara warehouses: ambient pallet storage, chilled cold storage and bonded storage (all per pallet-month), inbound handling &amp; putaway (per pallet), pick / pack / dispatch (per order line), and cycle count &amp; inventory reconciliation (per visit). Categories: Storage, Handling &amp; Fulfilment, Value-Added Services.</w:t>
      </w:r>
    </w:p>
    <w:p>
      <w:pPr>
        <w:pStyle w:val="BodyText"/>
      </w:pPr>
      <w:r>
        <w:t>•  Each of the two companies is given a minimal chart of accounts (Cash and Bank, Accounts Receivable, Accounts Payable, Retained Earnings, Service Revenue, Cost of Services) and an open FY2026-Q1 financial period, so an order placed through the storefront is invoiced and GL-posted in that subsidiary's own books, exactly as for Morise Agro Ltd and Morise Logistics Ltd. Their full Clearing/Forwarding and Warehouse Management systems (documents 19 and 20) remain unbuilt — this is the storefront-facing service list only.</w:t>
      </w:r>
    </w:p>
    <w:p>
      <w:pPr>
        <w:pStyle w:val="BodyText"/>
      </w:pPr>
      <w:r>
        <w:t>Verified end to end: signed in as the Highland Traders Ltd portal account, the shop now lists twenty-four products across all four subsidiaries (Agro 8, Clearing &amp; Forwarding 6, Warehouse Management 6, Logistics 4); the Subsidiaries directory shows every company with a non-zero product count and an enabled “Shop” button; an order placed for a Warehouse Management service creates ORD-2026-0001, INV-2026-0001 and a posted sale journal entry in Morise Warehouse Management Ltd's books, and the same for a Clearing &amp; Forwarding order in that company's books.</w:t>
      </w:r>
    </w:p>
    <w:p>
      <w:pPr>
        <w:pStyle w:val="Heading2"/>
      </w:pPr>
      <w:r>
        <w:t>Impact on this document</w:t>
      </w:r>
    </w:p>
    <w:p>
      <w:pPr>
        <w:pStyle w:val="BodyText"/>
      </w:pPr>
      <w:r>
        <w:t>Deployment — a reseed only; no migration and no configuration change.</w:t>
      </w:r>
    </w:p>
    <w:p>
      <w:pPr>
        <w:pStyle w:val="Heading1"/>
      </w:pPr>
      <w:r>
        <w:t>Implementation Status Update 48 (29 August 2026) — Content Localisation Extended to the Group Storefront — Read in the Chosen Language, Store Customer Input in English</w:t>
      </w:r>
    </w:p>
    <w:p>
      <w:pPr>
        <w:pStyle w:val="BodyText"/>
      </w:pPr>
      <w:r>
        <w:t>The "read database text in the customer's language, store the customer's input in English" behaviour first delivered on 27 August 2026 (and extended to promo banners and CMS content on 28 August) now also covers the storefront paths added by the group-catalogue work (sign-up, the group catalogue, the subsidiary directory and My Account). A customer sees the database in the language they chose; an administrator always reads English in the database.</w:t>
      </w:r>
    </w:p>
    <w:p>
      <w:pPr>
        <w:pStyle w:val="BodyText"/>
      </w:pPr>
      <w:r>
        <w:t>Read — shown in the chosen language:</w:t>
      </w:r>
    </w:p>
    <w:p>
      <w:pPr>
        <w:pStyle w:val="BodyText"/>
      </w:pPr>
      <w:r>
        <w:t>•  Every product listing's subsidiary, branch and branch-address tag, the group category list, and the whole Subsidiaries directory (each company name, its branch names and addresses) are now rendered in the customer's language through the same curated glossary the catalogue and support screens use — as far as the glossary reaches; company and place proper nouns largely pass through, while words like "Warehouse", "Forwarding", "Border", "Office", "Freight", "Storage", "Delivery" translate.</w:t>
      </w:r>
    </w:p>
    <w:p>
      <w:pPr>
        <w:pStyle w:val="BodyText"/>
      </w:pPr>
      <w:r>
        <w:t>•  GET /customer-portal/me returns the customer's own business name and address, and the subsidiary / branch / holding-company names, in the chosen language; when the customer is browsing in the language they typed their name or address in, their own exact wording is shown back instead of the glossary-translated English.</w:t>
      </w:r>
    </w:p>
    <w:p>
      <w:pPr>
        <w:pStyle w:val="BodyText"/>
      </w:pPr>
      <w:r>
        <w:t>•  The glossary gained the group-catalogue vocabulary: the eight new service categories (Freight Services, Warehousing Services, Customs Clearance, Freight Forwarding, Transit &amp; Documentation, Storage, Handling &amp; Fulfilment, Value-Added Services) and about thirty recurring service-name tokens (freight, forwarding, customs, clearance, transit, storage, handling, ocean, air, road, delivery, border, bonded, cold, ambient, inbound, dispatch, container, consolidation, cycle count, pick, pack, …), each in the eight fully-translated languages.</w:t>
      </w:r>
    </w:p>
    <w:p>
      <w:pPr>
        <w:pStyle w:val="BodyText"/>
      </w:pPr>
      <w:r>
        <w:t>Write — stored in English only:</w:t>
      </w:r>
    </w:p>
    <w:p>
      <w:pPr>
        <w:pStyle w:val="BodyText"/>
      </w:pPr>
      <w:r>
        <w:t>•  At sign-up the business name and phone number are normalised before storage: the name is mapped to English through the glossary (free-form remainder left to the translation-provider seam, a no-op until a real machine-translation service is configured) and any non-Western numerals a customer typed (for example Arabic-Indic digits in a phone number) are converted to 0-9. On My Account the same is done for the address and phone. The row keeps the source language and the customer's exact original wording (customers.source_language, customers.name_original, customers.address_original — migration 20260829150000_customer_content_originals) so the storefront can show the customer their own words and an administrator still reads the English columns, exactly as delivery addresses and support tickets already work.</w:t>
      </w:r>
    </w:p>
    <w:p>
      <w:pPr>
        <w:pStyle w:val="BodyText"/>
      </w:pPr>
      <w:r>
        <w:t>Verified: signed in as a customer browsing in Swahili, the shop shows "Huduma za Usafirishaji" for Freight Services and "Jinja Tawi" for Jinja Branch, and the Subsidiaries directory names read in Swahili; registering with an Arabic business name and an Arabic-Indic phone number stores "warehouse …" and "+256 701 234 555" in the database with source_language = ar and the original Arabic kept, GET /me returns the original Arabic to that customer and the English column to an English (admin) reader; editing the address in Swahili stores the English form with the Swahili original kept. Backend tsc clean.</w:t>
      </w:r>
    </w:p>
    <w:p>
      <w:pPr>
        <w:pStyle w:val="Heading2"/>
      </w:pPr>
      <w:r>
        <w:t>Impact on this document</w:t>
      </w:r>
    </w:p>
    <w:p>
      <w:pPr>
        <w:pStyle w:val="BodyText"/>
      </w:pPr>
      <w:r>
        <w:t>Deployment — one migration (20260829150000) and a redeploy; no configuration change.</w:t>
      </w:r>
    </w:p>
    <w:p>
      <w:pPr>
        <w:pStyle w:val="Heading1"/>
      </w:pPr>
      <w:r>
        <w:t>Implementation Status Update 49 (29 August 2026) — OpenAPI / Swagger API Documentation for the Phase 1 Backend</w:t>
      </w:r>
    </w:p>
    <w:p>
      <w:pPr>
        <w:pStyle w:val="BodyText"/>
      </w:pPr>
      <w:r>
        <w:t>09_API Specification, Section 1 described this deliverable as "a build-ready specification, not a finished OpenAPI/Swagger contract" and left the machine-readable contract to the engaged development team. That contract now exists and is generated from the running backend code.</w:t>
      </w:r>
    </w:p>
    <w:p>
      <w:pPr>
        <w:pStyle w:val="BodyText"/>
      </w:pPr>
      <w:r>
        <w:t>What was delivered (backend only — no database change, and no change to any endpoint's behaviour, request shape or response envelope):</w:t>
      </w:r>
    </w:p>
    <w:p>
      <w:pPr>
        <w:pStyle w:val="BodyText"/>
      </w:pPr>
      <w:r>
        <w:t>•  @nestjs/swagger is wired into the NestJS / Fastify backend in src/main.ts, with its CLI plugin enabled in nest-cli.json so request and response schemas are derived automatically from the existing class-validator DTOs. At the time of writing the document covers 245 paths, 309 operations and 116 component schemas.</w:t>
      </w:r>
    </w:p>
    <w:p>
      <w:pPr>
        <w:pStyle w:val="BodyText"/>
      </w:pPr>
      <w:r>
        <w:t>•  Interactive documentation (Swagger UI) is served at GET /api/v1/docs and the raw OpenAPI 3 document at GET /api/v1/docs-json, on the same port as the API (3001 in development). Two bearer security schemes — staff and customer — mirror the two JWT audiences already defined in .env (JWT_ACCESS_SECRET and JWT_CUSTOMER_ACCESS_SECRET); the UI’s Authorize state persists across reloads.</w:t>
      </w:r>
    </w:p>
    <w:p>
      <w:pPr>
        <w:pStyle w:val="BodyText"/>
      </w:pPr>
      <w:r>
        <w:t>•  A snapshot of the document is committed at backend/openapi.json and is refreshed with a new npm script, npm run openapi:generate, which reads /api/v1/docs-json from a running instance. Two dependencies were added: @nestjs/swagger and @fastify/static (the Fastify adapter serves the UI’s static assets through the latter).</w:t>
      </w:r>
    </w:p>
    <w:p>
      <w:pPr>
        <w:pStyle w:val="BodyText"/>
      </w:pPr>
      <w:r>
        <w:t>•  Build note: the @nestjs/swagger CLI plugin runs only through nest build / nest start, not a bare tsc invocation, so the backend is now built with npm run build. In this environment tsconfig.tsbuildinfo must be deleted first or the incremental compiler skips re-emitting.</w:t>
      </w:r>
    </w:p>
    <w:p>
      <w:pPr>
        <w:pStyle w:val="BodyText"/>
      </w:pPr>
      <w:r>
        <w:t>Verified end to end: after npm run build and a restart, GET /api/v1/docs returns the Swagger UI (HTTP 200) and GET /api/v1/docs-json returns a valid OpenAPI 3 document (200); POST /api/v1/identity/auth/login was executed from the UI without a token, and the staff access token it returned authorised a follow-up call to a guarded endpoint.</w:t>
      </w:r>
    </w:p>
    <w:p>
      <w:pPr>
        <w:pStyle w:val="Heading2"/>
      </w:pPr>
      <w:r>
        <w:t>Impact on this document</w:t>
      </w:r>
    </w:p>
    <w:p>
      <w:pPr>
        <w:pStyle w:val="BodyText"/>
      </w:pPr>
      <w:r>
        <w:t>Deployment — no configuration or migration change; the build step must be nest build (npm run build), not a bare tsc, or the generated schemas are incomplete. backend/openapi.json can be published as a release artefact.</w:t>
      </w:r>
    </w:p>
    <w:p>
      <w:pPr>
        <w:pStyle w:val="Heading1"/>
      </w:pPr>
      <w:r>
        <w:t>Implementation Status Update 50 (29 August 2026) — Corporate Landing Page &amp; Public Holding-Company Mini-Site</w:t>
      </w:r>
    </w:p>
    <w:p>
      <w:pPr>
        <w:pStyle w:val="BodyText"/>
      </w:pPr>
      <w:r>
        <w:t>The Customer Storefront’s pre-login landing page has been redesigned as the public, holding-company face of Morise Holdings, following the reference mockups in screenshots/files(13)/. It is no longer a single marketing page but a small public site rendered before any sign-in.</w:t>
      </w:r>
    </w:p>
    <w:p>
      <w:pPr>
        <w:pStyle w:val="BodyText"/>
      </w:pPr>
      <w:r>
        <w:t>What was delivered:</w:t>
      </w:r>
    </w:p>
    <w:p>
      <w:pPr>
        <w:pStyle w:val="BodyText"/>
      </w:pPr>
      <w:r>
        <w:t>•  A "paper &amp; bronze" visual system (Fraunces display + Inter text + IBM Plex Mono figures) in a new storefront stylesheet (styles/corporate.css), with a shared utility bar / main navigation / footer and the demonstration disclaimer (components/CorporateLayout.jsx).</w:t>
      </w:r>
    </w:p>
    <w:p>
      <w:pPr>
        <w:pStyle w:val="BodyText"/>
      </w:pPr>
      <w:r>
        <w:t>•  Seven public routes, none behind authentication: the landing page (/), Companies directory (/companies), a per-company page (/companies/:id), Profile (/profile), Group Leadership (/governance/board), Group Overview (/investors/overview), News (/investors/news) and Contacts (/contacts).</w:t>
      </w:r>
    </w:p>
    <w:p>
      <w:pPr>
        <w:pStyle w:val="BodyText"/>
      </w:pPr>
      <w:r>
        <w:t>•  One new backend endpoint — GET /api/v1/customer-portal/public/overview — PUBLIC (no customer token), returning only already-public facts: the holding company, its active subsidiaries with branches and ownership, and roll-up group figures (subsidiaries, branches, catalogue items, categories). It honours Accept-Language like the rest of the storefront. No database or schema change; it reuses the existing group-catalogue resolution, generalised to take no customer.</w:t>
      </w:r>
    </w:p>
    <w:p>
      <w:pPr>
        <w:pStyle w:val="BodyText"/>
      </w:pPr>
      <w:r>
        <w:t>•  The Companies grid, per-company pages and Group Overview table are populated live from that endpoint (four wholly-owned subsidiaries, 14 branches, 24 catalogue items at the time of writing); sector labels and one-line descriptions are presentation-only, keyed by subsidiary name with a generic fallback. Group leadership and news items are clearly labelled illustrative demo data.</w:t>
      </w:r>
    </w:p>
    <w:p>
      <w:pPr>
        <w:pStyle w:val="BodyText"/>
      </w:pPr>
      <w:r>
        <w:t>•  A signed-in customer is unaffected: "/" still shows their dashboard; the storefront, catalogue and account screens are unchanged.</w:t>
      </w:r>
    </w:p>
    <w:p>
      <w:pPr>
        <w:pStyle w:val="BodyText"/>
      </w:pPr>
      <w:r>
        <w:t>Verified end to end: signed out, "/" renders the holding-company landing with live group figures; every public route loads without a token; GET /customer-portal/public/overview returns HTTP 200 with the group shape; the storefront production build passes; signing in still lands on the customer dashboard.</w:t>
      </w:r>
    </w:p>
    <w:p>
      <w:pPr>
        <w:pStyle w:val="Heading2"/>
      </w:pPr>
      <w:r>
        <w:t>Impact on this document</w:t>
      </w:r>
    </w:p>
    <w:p>
      <w:pPr>
        <w:pStyle w:val="BodyText"/>
      </w:pPr>
      <w:r>
        <w:t>Deployment — front-end rebuild plus the backend build already required for Swagger; no migration and no configuration change. The new endpoint is public by design — confirm it is acceptable to expose the holding/subsidiary summary in the target environment.</w:t>
      </w:r>
    </w:p>
    <w:p>
      <w:pPr>
        <w:pStyle w:val="Heading1"/>
      </w:pPr>
      <w:r>
        <w:t>Implementation Status Update 51 (29 August 2026) — Corporate Landing Page Restyled to the Storefront Design System</w:t>
      </w:r>
    </w:p>
    <w:p>
      <w:pPr>
        <w:pStyle w:val="BodyText"/>
      </w:pPr>
      <w:r>
        <w:t>The public corporate mini-site added in Update 50 (landing page, Companies directory + per-company pages, Profile, Group Leadership, Group Overview, News, Contacts) has been restyled so it looks like the rest of the Customer Storefront. This is a presentation-only change.</w:t>
      </w:r>
    </w:p>
    <w:p>
      <w:pPr>
        <w:pStyle w:val="BodyText"/>
      </w:pPr>
      <w:r>
        <w:t>What changed:</w:t>
      </w:r>
    </w:p>
    <w:p>
      <w:pPr>
        <w:pStyle w:val="BodyText"/>
      </w:pPr>
      <w:r>
        <w:t>•  The corporate pages now use the SAME visual system as the shop page (mbms/storefront/src/styles/storefront.css): the system-font stack (-apple-system / Segoe UI / Roboto …), the navy (#1E3A5F) / blue (#2E5395) / amber (#D97706) palette, the #F2F5FA page background, white cards with a 10px radius and a hairline #E2E8F0 border, and the .sf-btn-style buttons and font sizes (24px page-head H1, ~20px section headings, 14px body).</w:t>
      </w:r>
    </w:p>
    <w:p>
      <w:pPr>
        <w:pStyle w:val="BodyText"/>
      </w:pPr>
      <w:r>
        <w:t>•  The earlier “paper &amp; bronze” treatment — the imported Fraunces / IBM Plex Mono web fonts, the cream #F2F0EA background and the serif headings from screenshots/files(13)/ — has been dropped. The web-font @import is removed, so the corporate pages now load no external fonts.</w:t>
      </w:r>
    </w:p>
    <w:p>
      <w:pPr>
        <w:pStyle w:val="BodyText"/>
      </w:pPr>
      <w:r>
        <w:t>•  Only mbms/storefront/src/styles/corporate.css changed. The page structure, routes, component files and the GET /api/v1/customer-portal/public/overview endpoint from Update 50 are untouched; the mc-* class names are unchanged. No backend, API, schema or data change.</w:t>
      </w:r>
    </w:p>
    <w:p>
      <w:pPr>
        <w:pStyle w:val="BodyText"/>
      </w:pPr>
      <w:r>
        <w:t>Verified: the storefront production build passes; signed out, the landing page and the six inner corporate pages render in the storefront’s navy / white / amber styling and sit visually alongside /shop; a signed-in customer still lands on the dashboard.</w:t>
      </w:r>
    </w:p>
    <w:p>
      <w:pPr>
        <w:pStyle w:val="Heading2"/>
      </w:pPr>
      <w:r>
        <w:t>Impact on this document</w:t>
      </w:r>
    </w:p>
    <w:p>
      <w:pPr>
        <w:pStyle w:val="BodyText"/>
      </w:pPr>
      <w:r>
        <w:t>Deployment — front-end rebuild only; no migration, no config, no new dependency. The corporate pages no longer fetch Google Fonts.</w:t>
      </w:r>
    </w:p>
    <w:p>
      <w:pPr>
        <w:pStyle w:val="Heading1"/>
      </w:pPr>
      <w:r>
        <w:t>Implementation Status Update 52 (29 August 2026) — Public Content Pages Folded Into the Corporate Site Chrome</w:t>
      </w:r>
    </w:p>
    <w:p>
      <w:pPr>
        <w:pStyle w:val="BodyText"/>
      </w:pPr>
      <w:r>
        <w:t>The public CMS content pages at /page/:slug (About, Terms, Delivery — linked from the corporate site’s utility bar and footer) now render inside the same shell and styling as the rest of the pre-login corporate mini-site (landing, Companies, Group Overview, News, Contacts). Presentation-only.</w:t>
      </w:r>
    </w:p>
    <w:p>
      <w:pPr>
        <w:pStyle w:val="BodyText"/>
      </w:pPr>
      <w:r>
        <w:t>What changed:</w:t>
      </w:r>
    </w:p>
    <w:p>
      <w:pPr>
        <w:pStyle w:val="BodyText"/>
      </w:pPr>
      <w:r>
        <w:t>•  ContentPage (mbms/storefront/src/pages/Page.jsx) now wraps its body in &lt;CorporateLayout&gt; — the shared utility bar, main navigation, footer and demonstration disclaimer — and uses the mc-* classes and the storefront design system (system fonts; navy / white / amber). It previously used a stripped-down header of its own and the earlier landing-page styling.</w:t>
      </w:r>
    </w:p>
    <w:p>
      <w:pPr>
        <w:pStyle w:val="BodyText"/>
      </w:pPr>
      <w:r>
        <w:t>•  One small block of card / article styles was added to mbms/storefront/src/styles/corporate.css (.mc-article). No other file changed.</w:t>
      </w:r>
    </w:p>
    <w:p>
      <w:pPr>
        <w:pStyle w:val="BodyText"/>
      </w:pPr>
      <w:r>
        <w:t>•  No change to the content itself, to the CMS admin screen, or to the endpoint that serves it (GET /api/v1/customer-portal/content/:slug — still public, unchanged). No backend, API, schema or data change.</w:t>
      </w:r>
    </w:p>
    <w:p>
      <w:pPr>
        <w:pStyle w:val="BodyText"/>
      </w:pPr>
      <w:r>
        <w:t>Verified: /page/about and /page/terms render with the corporate utility bar / nav / footer and the storefront’s navy / white / amber styling, matching /, /companies, /investors/overview, /investors/news and /contacts; the storefront production build passes; a signed-in customer still lands on the dashboard.</w:t>
      </w:r>
    </w:p>
    <w:p>
      <w:pPr>
        <w:pStyle w:val="Heading2"/>
      </w:pPr>
      <w:r>
        <w:t>Impact on this document</w:t>
      </w:r>
    </w:p>
    <w:p>
      <w:pPr>
        <w:pStyle w:val="BodyText"/>
      </w:pPr>
      <w:r>
        <w:t>Deployment — front-end rebuild only; no migration, config or dependency change.</w:t>
      </w:r>
    </w:p>
    <w:p>
      <w:pPr>
        <w:pStyle w:val="Heading1"/>
      </w:pPr>
      <w:r>
        <w:t>Implementation Status Update 53 (29 August 2026) — Social Media Channels — Managed in Admin, Shown in the Storefront</w:t>
      </w:r>
    </w:p>
    <w:p>
      <w:pPr>
        <w:pStyle w:val="BodyText"/>
      </w:pPr>
      <w:r>
        <w:t>An administrator can now add the group’s social media channels in Admin » CMS / Site Builder, and they appear in the storefront footer — both the pre-login corporate pages and the signed-in customer pages.</w:t>
      </w:r>
    </w:p>
    <w:p>
      <w:pPr>
        <w:pStyle w:val="BodyText"/>
      </w:pPr>
      <w:r>
        <w:t>What was delivered:</w:t>
      </w:r>
    </w:p>
    <w:p>
      <w:pPr>
        <w:pStyle w:val="BodyText"/>
      </w:pPr>
      <w:r>
        <w:t>•  New table social_links (migration 20260829180000_social_media_links) — platform (enum: facebook, x, instagram, linkedin, youtube, tiktok, whatsapp, telegram, other), optional label, url, sort_order, is_visible, created_by, timestamps. Site-wide, not per-company — the same scope model as content pages.</w:t>
      </w:r>
    </w:p>
    <w:p>
      <w:pPr>
        <w:pStyle w:val="BodyText"/>
      </w:pPr>
      <w:r>
        <w:t>•  Admin API under /api/v1/cms: GET /cms/social-links (needs cms.viewAll or cms.manage), POST /cms/social-links, PATCH /cms/social-links/{id}, DELETE /cms/social-links/{id} (all writes need cms.manage). New service SocialLinksService in the CMS module; every write is audited (cms.social_link.created / updated / deleted, entity_type social_link). No new permission — it reuses cms.manage / cms.viewAll.</w:t>
      </w:r>
    </w:p>
    <w:p>
      <w:pPr>
        <w:pStyle w:val="BodyText"/>
      </w:pPr>
      <w:r>
        <w:t>•  Public API: GET /api/v1/customer-portal/public/social-links — PUBLIC, no token — returns the visible channels in the admin-set order ({ platform, label, url }); honours Accept-Language for the label.</w:t>
      </w:r>
    </w:p>
    <w:p>
      <w:pPr>
        <w:pStyle w:val="BodyText"/>
      </w:pPr>
      <w:r>
        <w:t>•  Admin UI: a “Social media channels” panel on the CMS / Site Builder screen — list with visible/hidden toggle, re-order, remove, and an add row (platform, URL, label). Storefront: the footer of CorporateLayout (corporate pages) and of the signed-in Layout renders a “Follow us” row of channel links; an empty list renders nothing.</w:t>
      </w:r>
    </w:p>
    <w:p>
      <w:pPr>
        <w:pStyle w:val="BodyText"/>
      </w:pPr>
      <w:r>
        <w:t>•  Seed: Facebook, X, LinkedIn and Instagram seeded as visible, a WhatsApp channel seeded hidden, all owned by the Managing Director (fixed ids, idempotent).</w:t>
      </w:r>
    </w:p>
    <w:p>
      <w:pPr>
        <w:pStyle w:val="BodyText"/>
      </w:pPr>
      <w:r>
        <w:t>Verified end to end: signed in as the Managing Director, added and toggled a channel via /cms/social-links; GET /customer-portal/public/social-links immediately reflected the visible set (a hidden channel is excluded, appears the moment it is shown); the storefront and admin production builds pass; OpenAPI now documents the three new paths.</w:t>
      </w:r>
    </w:p>
    <w:p>
      <w:pPr>
        <w:pStyle w:val="Heading2"/>
      </w:pPr>
      <w:r>
        <w:t>Impact on this document</w:t>
      </w:r>
    </w:p>
    <w:p>
      <w:pPr>
        <w:pStyle w:val="BodyText"/>
      </w:pPr>
      <w:r>
        <w:t>Deployment — one migration (20260829180000_social_media_links); no config change, no new dependency. Backend + both front ends rebuilt. The public endpoint is unauthenticated by design.</w:t>
      </w:r>
    </w:p>
    <w:p>
      <w:pPr>
        <w:pStyle w:val="Heading1"/>
      </w:pPr>
      <w:r>
        <w:t>Implementation Status Update 54 (29 August 2026) — Landing-page Newsletter Sign-up and FAQ Section</w:t>
      </w:r>
    </w:p>
    <w:p>
      <w:pPr>
        <w:pStyle w:val="BodyText"/>
      </w:pPr>
      <w:r>
        <w:t>The corporate landing page gains a Newsletter sign-up band and an FAQ section. The FAQ items are managed by an administrator in Admin » CMS / Site Builder; newsletter sign-ups are captured from the landing page and listed for administrators there too.</w:t>
      </w:r>
    </w:p>
    <w:p>
      <w:pPr>
        <w:pStyle w:val="BodyText"/>
      </w:pPr>
      <w:r>
        <w:t>What was delivered:</w:t>
      </w:r>
    </w:p>
    <w:p>
      <w:pPr>
        <w:pStyle w:val="BodyText"/>
      </w:pPr>
      <w:r>
        <w:t>•  Two new tables (migration 20260829200000_landing_faq_newsletter). faq_items — question VARCHAR(300), answer TEXT, sort_order, is_visible, created_by, timestamps (site-wide, same scope model as content pages). newsletter_subscribers — email VARCHAR(255) UNIQUE, status (enum NewsletterStatus: subscribed / unsubscribed), source VARCHAR(80), timestamps.</w:t>
      </w:r>
    </w:p>
    <w:p>
      <w:pPr>
        <w:pStyle w:val="BodyText"/>
      </w:pPr>
      <w:r>
        <w:t>•  Admin API on /api/v1/cms (JWT + cms permissions): GET/POST/PATCH/DELETE /cms/faqs (writes need cms.manage; reads cms.viewAll or cms.manage); GET /cms/newsletter-subscribers (read, with total / subscribed / unsubscribed counts) and DELETE /cms/newsletter-subscribers/{id} (cms.manage). No new permission — reuses cms.manage / cms.viewAll. FAQ writes are audited (cms.faq_item.created / updated / deleted); a subscriber delete is audited (cms.newsletter_subscriber.deleted).</w:t>
      </w:r>
    </w:p>
    <w:p>
      <w:pPr>
        <w:pStyle w:val="BodyText"/>
      </w:pPr>
      <w:r>
        <w:t>•  Public API (no token): GET /api/v1/customer-portal/public/faqs — visible items in the admin order, { id, question, answer }, Accept-Language applied. POST /api/v1/customer-portal/public/newsletter { email, source? } — rate-limited (10 / minute / IP, SEC-05 style), idempotent, and non-enumerating (always returns { subscribed: true }; a repeat sign-up or a previously-unsubscribed address is silently re-subscribed).</w:t>
      </w:r>
    </w:p>
    <w:p>
      <w:pPr>
        <w:pStyle w:val="BodyText"/>
      </w:pPr>
      <w:r>
        <w:t>•  Admin UI: a “Landing-page FAQ” panel (inline-edit question / answer, show-hide, re-order, add, remove) and a read-only “Newsletter sign-ups” panel (counts + list + remove) on the CMS / Site Builder screen. Storefront: a NewsletterSection band and an expand/collapse FaqSection on the landing page; the FAQ section is omitted when there are no visible items.</w:t>
      </w:r>
    </w:p>
    <w:p>
      <w:pPr>
        <w:pStyle w:val="BodyText"/>
      </w:pPr>
      <w:r>
        <w:t>•  Seed: five demo FAQ items (four visible, one hidden), owned by the Managing Director (fixed ids, idempotent). No newsletter subscribers seeded.</w:t>
      </w:r>
    </w:p>
    <w:p>
      <w:pPr>
        <w:pStyle w:val="BodyText"/>
      </w:pPr>
      <w:r>
        <w:t>Verified end to end: as the Managing Director, listed and edited FAQ items via /cms/faqs; GET /customer-portal/public/faqs returned only the visible four; POST /customer-portal/public/newsletter accepted a new address (201) and a repeat (still 201), rejected a malformed address (400), and the sign-up appeared in GET /cms/newsletter-subscribers; the storefront and admin production builds pass; OpenAPI now documents the six new paths.</w:t>
      </w:r>
    </w:p>
    <w:p>
      <w:pPr>
        <w:pStyle w:val="Heading2"/>
      </w:pPr>
      <w:r>
        <w:t>Impact on this document</w:t>
      </w:r>
    </w:p>
    <w:p>
      <w:pPr>
        <w:pStyle w:val="BodyText"/>
      </w:pPr>
      <w:r>
        <w:t>Deployment — one migration (20260829200000_landing_faq_newsletter); no config change, no new dependency. Backend + both front ends rebuilt. The FAQ read and the newsletter POST are unauthenticated by design; the newsletter POST is rate-limited by the existing global throttler.</w:t>
      </w:r>
    </w:p>
    <w:p>
      <w:pPr>
        <w:pStyle w:val="Heading1"/>
      </w:pPr>
      <w:r>
        <w:t>Implementation Status Update 55 (30 August 2026) — Content Localisation Completed — Orders &amp; Payments (Read in Chosen Language, Store Input in English)</w:t>
      </w:r>
    </w:p>
    <w:p>
      <w:pPr>
        <w:pStyle w:val="BodyText"/>
      </w:pPr>
      <w:r>
        <w:t>The "read database text in the customer’s language, store the customer’s input in English" behaviour (Updates 32, 33, 39, 48) is now also applied to the two customer-facing areas it had not yet reached — order history and payments — closing the gap so the rule holds across the whole storefront.</w:t>
      </w:r>
    </w:p>
    <w:p>
      <w:pPr>
        <w:pStyle w:val="BodyText"/>
      </w:pPr>
      <w:r>
        <w:t>READ — shown in the chosen language (Accept-Language):</w:t>
      </w:r>
    </w:p>
    <w:p>
      <w:pPr>
        <w:pStyle w:val="BodyText"/>
      </w:pPr>
      <w:r>
        <w:t>•  GET /customer-portal/orders and /orders/{id} now return each line item’s product name, the selling subsidiary name, and the cancellation reason in the customer’s language, as far as the content glossary reaches; digits follow the language’s script. When the customer cancelled the order in the language they are now browsing in, their exact original wording is shown back instead of the translated English. The order-placement confirmation is localised the same way.</w:t>
      </w:r>
    </w:p>
    <w:p>
      <w:pPr>
        <w:pStyle w:val="BodyText"/>
      </w:pPr>
      <w:r>
        <w:t>WRITE — stored in English + 0-9 only:</w:t>
      </w:r>
    </w:p>
    <w:p>
      <w:pPr>
        <w:pStyle w:val="BodyText"/>
      </w:pPr>
      <w:r>
        <w:t>•  An order cancellation reason a customer types is normalised to English before it is stored (glossary + digit-normalise). The row keeps the customer’s exact original and its source language — new columns orders.cancellation_reason_original and orders.cancellation_source_language (migration 20260829210000_order_cancellation_reason_localisation) — the same shape delivery addresses, support tickets and the customer record already use. Staff who cancel an order type English; no original is kept.</w:t>
      </w:r>
    </w:p>
    <w:p>
      <w:pPr>
        <w:pStyle w:val="BodyText"/>
      </w:pPr>
      <w:r>
        <w:t>•  A payment reference (a bank / mobile-money transaction id) has its digits normalised to 0-9 on write, so a reference a customer typed in another numeral script is stored in the form a bank statement uses. It is an identifier, not prose — nothing else about it changes.</w:t>
      </w:r>
    </w:p>
    <w:p>
      <w:pPr>
        <w:pStyle w:val="BodyText"/>
      </w:pPr>
      <w:r>
        <w:t>No new endpoint and no new permission; the existing order routes now honour Accept-Language and the cancel route normalises its input. Staff always read and write English.</w:t>
      </w:r>
    </w:p>
    <w:p>
      <w:pPr>
        <w:pStyle w:val="BodyText"/>
      </w:pPr>
      <w:r>
        <w:t>Verified end to end: browsing in Swahili, order ORD-2026-0011’s line "Bean Seed — 10kg Bag" reads "Maharage Mbegu — 10kg Mfuko"; cancelling an order in Swahili with reason "Ghala" stores cancellation_reason = "Warehouse" with cancellation_reason_original = "Ghala" and cancellation_source_language = "sw" — an English (admin) read shows "Warehouse", the Swahili customer sees "Ghala"; a payment reference "MP٢٤٠٨٢٩.٠٠١" is stored as "MP240829.001". The backend build is clean.</w:t>
      </w:r>
    </w:p>
    <w:p>
      <w:pPr>
        <w:pStyle w:val="Heading2"/>
      </w:pPr>
      <w:r>
        <w:t>Impact on this document</w:t>
      </w:r>
    </w:p>
    <w:p>
      <w:pPr>
        <w:pStyle w:val="BodyText"/>
      </w:pPr>
      <w:r>
        <w:t>Deployment — one additive migration (20260829210000_order_cancellation_reason_localisation, two nullable columns on orders); no config change, no new dependency; backend rebuild.</w:t>
      </w:r>
    </w:p>
    <w:p>
      <w:pPr>
        <w:pStyle w:val="Heading1"/>
      </w:pPr>
      <w:r>
        <w:t>Implementation Status Update 56 (30 August 2026) — Content Localisation — Final Edges (Dashboard, Account Statement &amp; Exported PDFs, Discount-Code Input)</w:t>
      </w:r>
    </w:p>
    <w:p>
      <w:pPr>
        <w:pStyle w:val="BodyText"/>
      </w:pPr>
      <w:r>
        <w:t>A sweep of every remaining customer-facing read and write path found three edges the "read in the customer’s language / store the customer’s input in English" rule had not yet reached; all three are now closed, so the rule holds everywhere a customer sees text or types it.</w:t>
      </w:r>
    </w:p>
    <w:p>
      <w:pPr>
        <w:pStyle w:val="BodyText"/>
      </w:pPr>
      <w:r>
        <w:t>READ — now shown in the chosen language (Accept-Language):</w:t>
      </w:r>
    </w:p>
    <w:p>
      <w:pPr>
        <w:pStyle w:val="BodyText"/>
      </w:pPr>
      <w:r>
        <w:t>•  GET /customer-portal/dashboard-summary — the Home screen’s "Recent Orders" widget: line-item product names and the selling subsidiary name (it passes the language through to the order projection).</w:t>
      </w:r>
    </w:p>
    <w:p>
      <w:pPr>
        <w:pStyle w:val="BodyText"/>
      </w:pPr>
      <w:r>
        <w:t>•  GET /customer-portal/invoices/statement — each transaction row now carries a typeLabel ("invoice" / "payment") in the customer’s language alongside the machine type.</w:t>
      </w:r>
    </w:p>
    <w:p>
      <w:pPr>
        <w:pStyle w:val="BodyText"/>
      </w:pPr>
      <w:r>
        <w:t>•  GET /customer-portal/invoices/statement/pdf and /invoices/{id}/pdf — the exported Account Statement and Invoice PDFs are labelled in the customer’s language (title, "Balance", the column headers, the row type and the invoice status), with digits transliterated. The storefront now sends Accept-Language on the download too. Known limit: PDFKit’s built-in font renders Latin scripts and 0-9 only, so a non-Latin script (Arabic, CJK, …) still shows those label words in English — font embedding is the follow-up, the same class of seam as free-prose translation.</w:t>
      </w:r>
    </w:p>
    <w:p>
      <w:pPr>
        <w:pStyle w:val="BodyText"/>
      </w:pPr>
      <w:r>
        <w:t>WRITE — matched / stored in English + 0-9:</w:t>
      </w:r>
    </w:p>
    <w:p>
      <w:pPr>
        <w:pStyle w:val="BodyText"/>
      </w:pPr>
      <w:r>
        <w:t>•  A discount code a customer types at checkout or in the validate call is normalised to 0-9 before the look-up (a code entered as "WELCOME١٠" now matches "WELCOME10"), then upper-cased — on both POST /customer-portal/orders and POST /customer-portal/discount-codes/validate.</w:t>
      </w:r>
    </w:p>
    <w:p>
      <w:pPr>
        <w:pStyle w:val="BodyText"/>
      </w:pPr>
      <w:r>
        <w:t>Glossary: added the account-statement / invoice-PDF label vocabulary ("Account Statement", "Balance", "Date", "Type", "Reference", "Amount", "Running Balance", "Order", "Status", "Invoice Number", "Due Date", "Paid At", the row types "invoice"/"payment", and the invoice statuses paid / overdue / due_soon / upcoming) for the eight fully-translated languages.</w:t>
      </w:r>
    </w:p>
    <w:p>
      <w:pPr>
        <w:pStyle w:val="BodyText"/>
      </w:pPr>
      <w:r>
        <w:t>No new endpoint, no new permission, no schema change. Staff always read and write English.</w:t>
      </w:r>
    </w:p>
    <w:p>
      <w:pPr>
        <w:pStyle w:val="BodyText"/>
      </w:pPr>
      <w:r>
        <w:t>Verified end to end: browsing in Swahili, the dashboard’s recent orders read "Maharage Mbegu — 10kg Mfuko"; the statement rows read "ankara" / "malipo"; the statement PDF header reads "Taarifa ya Akaunti … Tarehe / Aina / Kumbukumbu / Kiasi / Salio Linaloendelea" (and "Relevé de compte …" in French); a discount code "WELCOME١٠" is matched as "WELCOME10". Backend build clean; OpenAPI regenerated.</w:t>
      </w:r>
    </w:p>
    <w:p>
      <w:pPr>
        <w:pStyle w:val="Heading2"/>
      </w:pPr>
      <w:r>
        <w:t>Impact on this document</w:t>
      </w:r>
    </w:p>
    <w:p>
      <w:pPr>
        <w:pStyle w:val="BodyText"/>
      </w:pPr>
      <w:r>
        <w:t>Deployment — no migration, no config change, no new dependency; backend rebuild + storefront rebuild (downloadFile header). PDF label localisation is best-effort for non-Latin scripts pending font embedding.</w:t>
      </w:r>
    </w:p>
    <w:p>
      <w:pPr>
        <w:pStyle w:val="Heading1"/>
      </w:pPr>
      <w:r>
        <w:t>Implementation Status Update 57 (30 August 2026) — Collateral Management Subsidiary + Multi-Site Collateral Management System Specification (New Doc 21)</w:t>
      </w:r>
    </w:p>
    <w:p>
      <w:pPr>
        <w:pStyle w:val="BodyText"/>
      </w:pPr>
      <w:r>
        <w:t>Using the same subsidiary-lifecycle capability, the Managing Director has set up a third specification-stage subsidiary — Morise Collateral Management Ltd — a wholly-owned collateral management agent (CMA) that monitors physical goods pledged as collateral (commodities, inventory, stored assets) for banks and financiers across many client sites (warehouses, silos, tank farms, yards, cold stores).</w:t>
      </w:r>
    </w:p>
    <w:p>
      <w:pPr>
        <w:pStyle w:val="BodyText"/>
      </w:pPr>
      <w:r>
        <w:t>Delivered — seed data only, no code / schema / permission change:</w:t>
      </w:r>
    </w:p>
    <w:p>
      <w:pPr>
        <w:pStyle w:val="BodyText"/>
      </w:pPr>
      <w:r>
        <w:t>•  Org structure seeded in seed.ts and fully manageable by the Managing Director (view / create / update / delete / activate): the company (a1000000-…-000000000006, wholly-owned, UGX, FY 1 January, registered office Nakasero, Kampala); 6 sites / branches (Kampala Head Office, Jinja Grain Silos, Mbale Warehouse, Masindi Grain Store, Kasese Cold Store, Buikwe Tank Farm); 9 departments (Field Inspection; Site &amp; Warehouse Management; Stock &amp; Collateral Control; Inspection &amp; Audit; Release &amp; Movement Authorization; Client &amp; Lender Relations; Compliance &amp; Risk; Workforce &amp; Rostering; IT &amp; Integrations); and 6 starter policies (GPS &amp; Evidence Integrity; Dual-Control Release Approval; Coverage Threshold Auto-Hold; Offline Field Sync; Multi-Client Stock Segregation; Inspection Frequency by Risk).</w:t>
      </w:r>
    </w:p>
    <w:p>
      <w:pPr>
        <w:pStyle w:val="BodyText"/>
      </w:pPr>
      <w:r>
        <w:t>•  A new numbered document — 21_Multi-Site Collateral Management System — Feature Specification — restates the client-supplied specification (retained in docx/ as Multi-Site-Collateral-Management-System-Feature-Specification.docx) in the house format of docs 19 and 20: ten feature modules (Site &amp; Warehouse Management; Field Inspector Operations / mobile app; Staff &amp; Workforce Management; Stock &amp; Collateral Management; Inspection &amp; Audit Workflow; Release &amp; Movement Authorization; Client / Lender Portal; Alerts &amp; Notifications; Reporting &amp; Compliance; Document Management), plus non-functional requirements, an architecture overview, the integration-points and phased-roadmap tables, user roles, the suggested technology stack, the organisation-as-built section, the relationship to the existing MBMS platform, and approval.</w:t>
      </w:r>
    </w:p>
    <w:p>
      <w:pPr>
        <w:pStyle w:val="BodyText"/>
      </w:pPr>
      <w:r>
        <w:t>•  None of the CMS modules are implemented. The subsidiary appears in the group directory / Group Overview (five subsidiaries now, 20 sites / branches) with no priced catalogue — it is a monitoring and inspection service, not a shop. A storefront presentation entry (sector + blurb) was added for its corporate-site card.</w:t>
      </w:r>
    </w:p>
    <w:p>
      <w:pPr>
        <w:pStyle w:val="BodyText"/>
      </w:pPr>
      <w:r>
        <w:t>Verified: after re-seed, GET /customer-portal/public/overview lists Morise Collateral Management Ltd with 6 branches and 0 products; the database holds the company, 6 branches, 9 departments and 6 policies under it; no migration ran (schema unchanged).</w:t>
      </w:r>
    </w:p>
    <w:p>
      <w:pPr>
        <w:pStyle w:val="Heading2"/>
      </w:pPr>
      <w:r>
        <w:t>Impact on this document</w:t>
      </w:r>
    </w:p>
    <w:p>
      <w:pPr>
        <w:pStyle w:val="BodyText"/>
      </w:pPr>
      <w:r>
        <w:t>Deployment — a re-seed only; no migration, no configuration change, no new dependency. The doc-21 spec ships with the documentation set.</w:t>
      </w:r>
    </w:p>
    <w:p>
      <w:pPr>
        <w:pStyle w:val="Heading1"/>
      </w:pPr>
      <w:r>
        <w:t>Implementation Status Update 58 (30 August 2026) — Full-page Demonstration-Disclaimer Gate (10-second Hold) + Admin-Managed Disclaimer Statements</w:t>
      </w:r>
    </w:p>
    <w:p>
      <w:pPr>
        <w:pStyle w:val="BodyText"/>
      </w:pPr>
      <w:r>
        <w:t>The demonstration disclaimer that used to appear as a dismissible modal over the corporate landing page is now a full-page gate a signed-out visitor must pass through first: the disclaimer is shown for a hold period (10 seconds by default, set server-side) with a live countdown on the button, then an "I Understand, Continue" button becomes active and the landing page appears. The acknowledgement is remembered per browser, so a return visitor goes straight to the landing page.</w:t>
      </w:r>
    </w:p>
    <w:p>
      <w:pPr>
        <w:pStyle w:val="BodyText"/>
      </w:pPr>
      <w:r>
        <w:t>The disclaimer text is now managed by admin staff, not hard-coded:</w:t>
      </w:r>
    </w:p>
    <w:p>
      <w:pPr>
        <w:pStyle w:val="BodyText"/>
      </w:pPr>
      <w:r>
        <w:t>•  New table disclaimer_items (migration 20260830130000_site_disclaimer) — body (text), sort_order, is_visible, created_by, timestamps. Site-wide, the same scope model as faq_items / social_links.</w:t>
      </w:r>
    </w:p>
    <w:p>
      <w:pPr>
        <w:pStyle w:val="BodyText"/>
      </w:pPr>
      <w:r>
        <w:t>•  Admin API on /api/v1/cms (JWT + cms permissions): GET / POST / PATCH / DELETE /cms/disclaimer-items — writes need cms.manage, reads cms.viewAll or cms.manage. No new permission. Every write is audited (cms.disclaimer_item.created / updated / deleted).</w:t>
      </w:r>
    </w:p>
    <w:p>
      <w:pPr>
        <w:pStyle w:val="BodyText"/>
      </w:pPr>
      <w:r>
        <w:t>•  Public API (no token): GET /api/v1/customer-portal/public/disclaimer → { holdSeconds, items: [{ id, body }] } — visible statements in the admin-set order, Accept-Language applied to the text, and the hold period the gate counts down.</w:t>
      </w:r>
    </w:p>
    <w:p>
      <w:pPr>
        <w:pStyle w:val="BodyText"/>
      </w:pPr>
      <w:r>
        <w:t>•  Admin UI: a "Site disclaimer" panel on the CMS / Site Builder screen (inline-edit statement, show / hide, re-order, add, remove). Storefront: a new full-page DisclaimerGate component gates "/" for a signed-out, un-acknowledged visitor; the deep-link corporate marketing routes redirect back through it. The old CorporateLayout modal remains only as a "Read disclaimer" re-opener, now fed by the same admin statements.</w:t>
      </w:r>
    </w:p>
    <w:p>
      <w:pPr>
        <w:pStyle w:val="BodyText"/>
      </w:pPr>
      <w:r>
        <w:t>•  Seed: five demonstration statements (proof-of-concept build; demo data; simulated payments; do not enter real information; access is issued by Morise Holdings), owned by the Managing Director (fixed ids, idempotent).</w:t>
      </w:r>
    </w:p>
    <w:p>
      <w:pPr>
        <w:pStyle w:val="BodyText"/>
      </w:pPr>
      <w:r>
        <w:t>Verified end to end: signed out, "/" shows the disclaimer gate with the five seeded statements and a disabled button counting down from 10; after the countdown the button activates and continuing shows the landing page; a reload goes straight to the landing page. As the Managing Director, adding a statement via /cms/disclaimer-items made it appear immediately in GET /customer-portal/public/disclaimer. Storefront and admin production builds pass; OpenAPI documents the three new paths.</w:t>
      </w:r>
    </w:p>
    <w:p>
      <w:pPr>
        <w:pStyle w:val="Heading2"/>
      </w:pPr>
      <w:r>
        <w:t>Impact on this document</w:t>
      </w:r>
    </w:p>
    <w:p>
      <w:pPr>
        <w:pStyle w:val="BodyText"/>
      </w:pPr>
      <w:r>
        <w:t>Deployment — one additive migration (20260830130000_site_disclaimer); no config change, no new dependency; backend + both front ends rebuilt. The public disclaimer read is unauthenticated by design.</w:t>
      </w:r>
    </w:p>
    <w:p>
      <w:pPr>
        <w:pStyle w:val="Heading1"/>
      </w:pPr>
      <w:r>
        <w:t>Implementation Status Update 59 (30 August 2026) — Disclaimer Gate &amp; Corporate Landing Pages Localised into the Chosen Language</w:t>
      </w:r>
    </w:p>
    <w:p>
      <w:pPr>
        <w:pStyle w:val="BodyText"/>
      </w:pPr>
      <w:r>
        <w:t>The pre-login corporate surface — the full-page disclaimer gate, the landing page and the rest of the corporate mini-site (Companies, Profile, Group Leadership, Group Overview, News, Contacts, footer) — now renders in the language the visitor chooses, not only in English.</w:t>
      </w:r>
    </w:p>
    <w:p>
      <w:pPr>
        <w:pStyle w:val="BodyText"/>
      </w:pPr>
      <w:r>
        <w:t>What was delivered (front-end + glossary; no schema, endpoint or permission change):</w:t>
      </w:r>
    </w:p>
    <w:p>
      <w:pPr>
        <w:pStyle w:val="BodyText"/>
      </w:pPr>
      <w:r>
        <w:t>•  The 144 corporate / disclaimer / landing UI strings (previously English-only) are translated into the eight fully-supported languages — Swahili, Luganda, French, Spanish, Portuguese, German, Italian and Arabic — in locales/eu.js and locales/regional.js, so choosing one of those changes the whole pre-login surface, headings, labels, buttons and the disclaimer-gate countdown ("Please read — continue in Ns") included.</w:t>
      </w:r>
    </w:p>
    <w:p>
      <w:pPr>
        <w:pStyle w:val="BodyText"/>
      </w:pPr>
      <w:r>
        <w:t>•  The five seeded disclaimer statements are added to the content-translation glossary (content-glossary.ts) for the same eight languages, so GET /customer-portal/public/disclaimer returns them in the chosen language (Accept-Language), the same way the seeded CMS content-page bodies already do. An admin-added statement beyond the seeded five falls through untranslated until a real machine-translation provider is wired in — the documented glossary limit.</w:t>
      </w:r>
    </w:p>
    <w:p>
      <w:pPr>
        <w:pStyle w:val="BodyText"/>
      </w:pPr>
      <w:r>
        <w:t>•  First-visit language detection: with no stored choice, the storefront now honours an explicit ?lang=&lt;code&gt; on the URL (persisted), then the browser’s own preferred languages (navigator.languages), before falling back to English — so a Swahili, French or Arabic browser lands on its own language on the gate and landing page. The language picker on the gate still overrides and remembers the visitor’s explicit choice.</w:t>
      </w:r>
    </w:p>
    <w:p>
      <w:pPr>
        <w:pStyle w:val="BodyText"/>
      </w:pPr>
      <w:r>
        <w:t>•  Right-to-left safety net for Arabic: a small [dir="rtl"] block in corporate.css fixes the physically-placed bits (the gate’s list alignment, the overview table’s right-aligned figures, the FAQ question row, the two-column detail grids); the browser mirrors the rest from document.dir.</w:t>
      </w:r>
    </w:p>
    <w:p>
      <w:pPr>
        <w:pStyle w:val="BodyText"/>
      </w:pPr>
      <w:r>
        <w:t>Verified: the disclaimer gate opened at /?lang=sw, /?lang=fr and /?lang=ar renders its heading, the five statements, the countdown button, the hint line and the "Customer sign in" link entirely in that language, with the Arabic layout mirrored right-to-left; GET /customer-portal/public/disclaimer with Accept-Language: sw / fr / ar returns the statements translated. Storefront and admin production builds pass.</w:t>
      </w:r>
    </w:p>
    <w:p>
      <w:pPr>
        <w:pStyle w:val="Heading2"/>
      </w:pPr>
      <w:r>
        <w:t>Impact on this document</w:t>
      </w:r>
    </w:p>
    <w:p>
      <w:pPr>
        <w:pStyle w:val="BodyText"/>
      </w:pPr>
      <w:r>
        <w:t>Deployment — front-end rebuild only; no migration, config or dependency change.</w:t>
      </w:r>
    </w:p>
    <w:p>
      <w:pPr>
        <w:pStyle w:val="Heading1"/>
      </w:pPr>
      <w:r>
        <w:t>Implementation Status Update 60 (30 August 2026) — Morise Collateral Management Ltd — Priced Services Catalogue Added to the Group Storefront</w:t>
      </w:r>
    </w:p>
    <w:p>
      <w:pPr>
        <w:pStyle w:val="BodyText"/>
      </w:pPr>
      <w:r>
        <w:t>Update 57 seeded Morise Collateral Management Ltd as an org structure only, with no storefront catalogue. It now has a priced service catalogue in the group storefront, drawn from the client-supplied reference catalogue “Services Offered by Collateral Management Companies” (retained in docx/ as Collateral-Management-Company-Services-Catalog.docx).</w:t>
      </w:r>
    </w:p>
    <w:p>
      <w:pPr>
        <w:pStyle w:val="BodyText"/>
      </w:pPr>
      <w:r>
        <w:t>What was delivered (seed data only — no code, schema or permission change; the group-storefront engine already supports any number of sellers):</w:t>
      </w:r>
    </w:p>
    <w:p>
      <w:pPr>
        <w:pStyle w:val="BodyText"/>
      </w:pPr>
      <w:r>
        <w:t>•  Ten priced services (CMC-5001–CMC-5010) across five storefront categories — Custody &amp; Control, Inspection &amp; Verification, Stock &amp; Movement Control, Risk &amp; Valuation, and Reporting &amp; Compliance — seeded onto the subsidiary’s six sites: Collateral Management Agreement (CMA) setup &amp; onboarding; Field Warehousing Control; Stock Inspection Visit (quantity, quality &amp; sampling); Weighbridge &amp; Tank / Silo Gauging; Stock Reconciliation &amp; Variance Report; Dual-Control Release Authorization; Collateral Valuation &amp; Coverage-Ratio Monitoring; Daily Stock-Position Reporting &amp; Lender Portal Access; Warehouse Receipt Issuance; and Facility / Site Accreditation Assessment. UGX pricing, per-service unit of measure, category and branch attribution.</w:t>
      </w:r>
    </w:p>
    <w:p>
      <w:pPr>
        <w:pStyle w:val="BodyText"/>
      </w:pPr>
      <w:r>
        <w:t>•  The subsidiary is given the same six-account starter chart (Cash and Bank, Accounts Receivable, Accounts Payable, Retained Earnings, Service Revenue, Cost of Services) and an open FY2026-Q1 period via ensureStorefrontBooks(), so its storefront orders invoice and GL-post in its own books — exactly as Update 47 did for Clearing &amp; Forwarding and Warehouse Management.</w:t>
      </w:r>
    </w:p>
    <w:p>
      <w:pPr>
        <w:pStyle w:val="BodyText"/>
      </w:pPr>
      <w:r>
        <w:t>•  The five catalogue category names and the recurring service-name tokens (collateral, custody, control, inspection, valuation, coverage, reconciliation, release, authorization, receipt, reporting, compliance, gauging, accreditation, facility, agreement, weighbridge, silo, tank, lender, portal, …) are added to the content-translation glossary for the eight fully-supported languages, so the rows render in the customer’s chosen language as far as the glossary reaches (proper nouns and the residual prose pass through, the documented limit).</w:t>
      </w:r>
    </w:p>
    <w:p>
      <w:pPr>
        <w:pStyle w:val="BodyText"/>
      </w:pPr>
      <w:r>
        <w:t>•  docx/21 gains an addendum — “Services Catalogue Seeded into the Storefront” — restating the reference catalogue’s nine categories, the physical-vs-financial comparison table, and the ten seeded services with their sites and prices. The Multi-Site Collateral Management System itself (docx/21 Sections 2–11) stays a future-phase backlog; only the priced catalogue is live.</w:t>
      </w:r>
    </w:p>
    <w:p>
      <w:pPr>
        <w:pStyle w:val="BodyText"/>
      </w:pPr>
      <w:r>
        <w:t>Verified end to end: after re-seed, GET /customer-portal/public/overview lists Morise Collateral Management Ltd with 6 sites and 10 products (group figures now 34 products across 18 categories); GET /customer-portal/catalog/products?companyId=…006 returns the ten services, priced and branch-tagged, and localised into Swahili / French on Accept-Language. No migration ran.</w:t>
      </w:r>
    </w:p>
    <w:p>
      <w:pPr>
        <w:pStyle w:val="Heading2"/>
      </w:pPr>
      <w:r>
        <w:t>Impact on this document</w:t>
      </w:r>
    </w:p>
    <w:p>
      <w:pPr>
        <w:pStyle w:val="BodyText"/>
      </w:pPr>
      <w:r>
        <w:t>Deployment — a re-seed only; no migration, configuration or dependency change.</w:t>
      </w:r>
    </w:p>
    <w:p>
      <w:pPr>
        <w:pStyle w:val="Heading1"/>
      </w:pPr>
      <w:r>
        <w:t>Implementation Status Update 61 (30 August 2026) — Managing Director — Full Operational Authority Across Every Admin Category</w:t>
      </w:r>
    </w:p>
    <w:p>
      <w:pPr>
        <w:pStyle w:val="BodyText"/>
      </w:pPr>
      <w:r>
        <w:t>The Managing Director asked to be able to operate — view, create, edit, approve and execute — on every section of the four Admin categories (ADMIN / BACKEND, HUMAN RESOURCES, MY HR and FINANCIAL &amp; ACCOUNTING), not only to hold group-wide view. The role now carries the complete permission set, and the admin screens honour it.</w:t>
      </w:r>
    </w:p>
    <w:p>
      <w:pPr>
        <w:pStyle w:val="BodyText"/>
      </w:pPr>
      <w:r>
        <w:t>What changed (seed data + front-end gating; no schema, endpoint or migration):</w:t>
      </w:r>
    </w:p>
    <w:p>
      <w:pPr>
        <w:pStyle w:val="BodyText"/>
      </w:pPr>
      <w:r>
        <w:t>•  The Managing Director role in seed.ts (ROLE_PERMISSIONS['Managing Director']) is expanded from a mostly-view set to the full permission catalogue — all 53 codes, the same breadth as Super Administrator, plus identity.user.delegate as the top grantor of the delegated-administration model. It gains the manage / approve codes it previously lacked: employee.manage, employee.view.sensitive, accounting.manage, customer.manage, supplier.manage, supplier.view.sensitive, product.manage, asset.manage, recruitment.manage, attendance.manage, leave.manage, leave.approve, performance.manage, payroll.manage, sales.order.manage, support.ticket.manage, ap.manage, expense.approve.manager and expense.approve.finance. MY HR needs no permission (it is scoped by the signed-in user's employee record).</w:t>
      </w:r>
    </w:p>
    <w:p>
      <w:pPr>
        <w:pStyle w:val="BodyText"/>
      </w:pPr>
      <w:r>
        <w:t>•  Sixteen admin pages whose in-screen “manage / approve / create” controls were gated by a hard-coded role list — Accounting, Accounts Payable, Assets, Attendance, Customers, Employees, Expenses, Inter-Company, Leave, Order Management, Performance, Product Manager, Projects, Recruitment, Suppliers and Support Tickets — now also accept the matching permission code (hasRole(…) OR hasPermission('…')). This unlocks every control for the Managing Director and, more generally, for any role or user granted that permission through delegated administration; the newer screens (CMS, Departments, Inventory, Marketing, Payroll, Shift Scheduling) already worked this way.</w:t>
      </w:r>
    </w:p>
    <w:p>
      <w:pPr>
        <w:pStyle w:val="BodyText"/>
      </w:pPr>
      <w:r>
        <w:t>•  No new permission code and no change to how the API enforces each route — the backend already checked these codes; only the seeded grants and the front-end control visibility changed.</w:t>
      </w:r>
    </w:p>
    <w:p>
      <w:pPr>
        <w:pStyle w:val="BodyText"/>
      </w:pPr>
      <w:r>
        <w:t>Verified end to end: signed in as the Managing Director, GET /identity/auth/me returns all 53 permission codes; a read in every section of all four categories returns 200 with no 403; write (manage) calls — POST /suppliers, /customers, /products, /accounting/accounts, /assets, /attendance/shifts, /recruitment/vacancies, /payroll/runs, /shift-scheduling/entries, /employees — are accepted or fail only on payload validation (VALIDATION_ERROR), never on permission. Front-end build passes; OpenAPI unchanged.</w:t>
      </w:r>
    </w:p>
    <w:p>
      <w:pPr>
        <w:pStyle w:val="Heading2"/>
      </w:pPr>
      <w:r>
        <w:t>Impact on this document</w:t>
      </w:r>
    </w:p>
    <w:p>
      <w:pPr>
        <w:pStyle w:val="BodyText"/>
      </w:pPr>
      <w:r>
        <w:t>Deployment — a re-seed applies the expanded Managing Director grants (role_permissions upserts); a front-end rebuild ships the permission-aware gates. No migration, config or dependency change.</w:t>
      </w:r>
    </w:p>
    <w:p>
      <w:pPr>
        <w:pStyle w:val="Heading1"/>
      </w:pPr>
      <w:r>
        <w:t>Implementation Status Update 62 (31 August 2026) — Morise Brand Mark — Professional Logo Across Both Apps</w:t>
      </w:r>
    </w:p>
    <w:p>
      <w:pPr>
        <w:pStyle w:val="BodyText"/>
      </w:pPr>
      <w:r>
        <w:t>The Managing Director asked for a proper, professional Morise logo to replace the plain letter “M” placeholder that stood in for a brand mark in both the staff Admin app and the Customer Storefront.</w:t>
      </w:r>
    </w:p>
    <w:p>
      <w:pPr>
        <w:pStyle w:val="BodyText"/>
      </w:pPr>
      <w:r>
        <w:t>The mark: a geometric monoline “M” that also reads as an upward growth line and as a route between points — the group moves inputs, fuel, freight and value across sites — with an amber diamond resting on its apex, standing for the holding company as the connecting keystone of its subsidiaries. Colours are the existing brand tokens: Morise Navy #1E3A5F, Morise Amber #D97706, white. The “M” is a single continuous stroke with round caps and joins so it stays crisp from a 16px favicon upward.</w:t>
      </w:r>
    </w:p>
    <w:p>
      <w:pPr>
        <w:pStyle w:val="BodyText"/>
      </w:pPr>
      <w:r>
        <w:t>What changed (front-end assets + a shared component; no backend, schema, endpoint or migration):</w:t>
      </w:r>
    </w:p>
    <w:p>
      <w:pPr>
        <w:pStyle w:val="BodyText"/>
      </w:pPr>
      <w:r>
        <w:t>•  New brand/ folder at the repository root: morise-logo.svg (primary lockup — navy tile mark + MORISE wordmark + HOLDINGS LIMITED subtitle), morise-logomark.svg (navy app-tile), morise-logomark-light.svg (white “M”, transparent) and morise-logomark-dark.svg (navy “M”, transparent), plus brand/README.md — a one-page brand sheet (concept, colour values, clear-space, minimum sizes, do / don’t, file inventory).</w:t>
      </w:r>
    </w:p>
    <w:p>
      <w:pPr>
        <w:pStyle w:val="BodyText"/>
      </w:pPr>
      <w:r>
        <w:t>•  One shared React component, src/components/Logo.jsx, added identically to mbms/frontend and mbms/storefront. The “M” stroke uses currentColor, so a &lt;Logo/&gt; dropped into an existing badge inherits navy-on-white or white-on-navy from that badge automatically; the apex diamond is always amber. Props: size, tile (standalone navy tile) and tone (stroke override).</w:t>
      </w:r>
    </w:p>
    <w:p>
      <w:pPr>
        <w:pStyle w:val="BodyText"/>
      </w:pPr>
      <w:r>
        <w:t>•  Every “M” placeholder now renders &lt;Logo/&gt;: the Admin top bar and the Admin login card; the Storefront shop header, the corporate mini-site nav, the full-page disclaimer gate, and the four customer auth screens (sign in, register, forgot / reset password). Both index.html files gained an inline SVG data-URI favicon of the navy tile mark.</w:t>
      </w:r>
    </w:p>
    <w:p>
      <w:pPr>
        <w:pStyle w:val="BodyText"/>
      </w:pPr>
      <w:r>
        <w:t>Verified: production build of both React apps passes (vite build, 73 modules each, no new warnings); headless screenshots of the Admin login and the Storefront disclaimer gate show the new mark rendering correctly on navy and on white. No API surface change — OpenAPI unchanged.</w:t>
      </w:r>
    </w:p>
    <w:p>
      <w:pPr>
        <w:pStyle w:val="Heading2"/>
      </w:pPr>
      <w:r>
        <w:t>Impact on this document</w:t>
      </w:r>
    </w:p>
    <w:p>
      <w:pPr>
        <w:pStyle w:val="BodyText"/>
      </w:pPr>
      <w:r>
        <w:t>Deployment — a front-end rebuild of both apps ships the new assets and favicons. No migration, config, dependency or backend change.</w:t>
      </w:r>
    </w:p>
    <w:p>
      <w:pPr>
        <w:pStyle w:val="Heading1"/>
      </w:pPr>
      <w:r>
        <w:t>Implementation Status Update 63 (31 August 2026) — Morise Banner Family — Professional Banner Set Across Both Apps</w:t>
      </w:r>
    </w:p>
    <w:p>
      <w:pPr>
        <w:pStyle w:val="BodyText"/>
      </w:pPr>
      <w:r>
        <w:t>Following the new Morise logo, the Managing Director asked for a full set of professional banners for Morise. A coherent banner family was designed on the same brand language (navy #1E3A5F / amber #D97706, the monoline logomark as a watermark, an amber keystone diamond, and a thin “route” line through nodes for “every input, every mile, every store”).</w:t>
      </w:r>
    </w:p>
    <w:p>
      <w:pPr>
        <w:pStyle w:val="BodyText"/>
      </w:pPr>
      <w:r>
        <w:t>What was produced — SVG assets in a new brand/banners/ folder at the repository root, plus a one-page section in brand/README.md:</w:t>
      </w:r>
    </w:p>
    <w:p>
      <w:pPr>
        <w:pStyle w:val="BodyText"/>
      </w:pPr>
      <w:r>
        <w:t>•  group-hero.svg (1600×520, text baked) and group-hero-bg.svg (texture only, for use behind live page copy); page-header-bg.svg (1600×200) for interior page heads; social-card.svg (1200×630) for Open Graph / social sharing; email-header.svg (1200×280) for newsletters; promo-strip.svg (1600×200) for the storefront promotional strip; announcement-ribbon.svg (1600×56, “Demonstration build — not for production use”); auth-side.svg (960×1200) for the sign-in screens; and one banner per subsidiary — subsidiary-agro / -logistics / -clearing-forwarding / -warehouse / -collateral (1600×420 each), same navy ground and amber diamond with a single sector-accent hue on the route line.</w:t>
      </w:r>
    </w:p>
    <w:p>
      <w:pPr>
        <w:pStyle w:val="BodyText"/>
      </w:pPr>
      <w:r>
        <w:t>•  Every SVG is standalone — no external fonts (a system sans stack in &lt;text&gt;), no external refs — so each works as a file, an &lt;img&gt;, or a CSS background.</w:t>
      </w:r>
    </w:p>
    <w:p>
      <w:pPr>
        <w:pStyle w:val="BodyText"/>
      </w:pPr>
      <w:r>
        <w:t>Wired into the apps (front-end assets + a little CSS; no backend, schema, endpoint or migration): the banner SVGs are copied into mbms/frontend/public/brand/banners/ and mbms/storefront/public/brand/banners/; the storefront hero (.sf-hero) and the corporate mini-site hero (.mc-hero) now layer group-hero-bg.svg over their existing navy→blue gradient (the gradient stays as a graceful fallback); both index.html files gained Open Graph / Twitter-card meta tags pointing at social-card.svg.</w:t>
      </w:r>
    </w:p>
    <w:p>
      <w:pPr>
        <w:pStyle w:val="BodyText"/>
      </w:pPr>
      <w:r>
        <w:t>Seed data (seed-only, idempotent guards): the storefront promotional banner rail for the demo customer’s company (Morise Agro Ltd) is now a curated set of three — “Season stock-up”, “One storefront for the whole group” and “Bulk fuel and haulage, booked online” — each rendered by the existing text-only PromoBanner model that the storefront home already consumes.</w:t>
      </w:r>
    </w:p>
    <w:p>
      <w:pPr>
        <w:pStyle w:val="BodyText"/>
      </w:pPr>
      <w:r>
        <w:t>Verified: both React apps build (vite build, no new warnings); the backend seed type-checks; the banner assets serve at /brand/banners/… on both dev servers; a headless render of group-hero.svg and a contact sheet of the full set confirm the banners are correct on navy and on white. OpenAPI unchanged.</w:t>
      </w:r>
    </w:p>
    <w:p>
      <w:pPr>
        <w:pStyle w:val="Heading2"/>
      </w:pPr>
      <w:r>
        <w:t>Impact on this document</w:t>
      </w:r>
    </w:p>
    <w:p>
      <w:pPr>
        <w:pStyle w:val="BodyText"/>
      </w:pPr>
      <w:r>
        <w:t>Deployment — a front-end rebuild ships the new public/ assets and the meta tags; a re-seed adds the two extra promo-banner rows (guarded). No migration, config, dependency or backend change.</w:t>
      </w:r>
    </w:p>
    <w:p>
      <w:pPr>
        <w:pStyle w:val="Heading1"/>
      </w:pPr>
      <w:r>
        <w:t>Implementation Status Update 64 (31 August 2026) — Brand Banners Displayed Across the Customer Storefront</w:t>
      </w:r>
    </w:p>
    <w:p>
      <w:pPr>
        <w:pStyle w:val="BodyText"/>
      </w:pPr>
      <w:r>
        <w:t>The Managing Director asked that the Morise banners actually be displayed on the customer storefront, not only exist as brand assets. The banner family from brand/banners/ is now shown on every relevant storefront surface.</w:t>
      </w:r>
    </w:p>
    <w:p>
      <w:pPr>
        <w:pStyle w:val="BodyText"/>
      </w:pPr>
      <w:r>
        <w:t>What changed (storefront front-end only; no backend, schema, endpoint, permission or migration):</w:t>
      </w:r>
    </w:p>
    <w:p>
      <w:pPr>
        <w:pStyle w:val="BodyText"/>
      </w:pPr>
      <w:r>
        <w:t>•  A small helper in mbms/storefront/src/lib/corporate.js — bannerFor(name) maps a subsidiary to its /brand/banners/subsidiary-*.svg (group hero as the fallback), plus GROUP_HERO_BANNER and PROMO_STRIP_BANNER constants.</w:t>
      </w:r>
    </w:p>
    <w:p>
      <w:pPr>
        <w:pStyle w:val="BodyText"/>
      </w:pPr>
      <w:r>
        <w:t>•  Public holding-company site: the Companies grid on the landing page (corporate/Home.jsx) and the Companies directory (corporate/Companies.jsx) now render each card's picture as that subsidiary's banner instead of an empty grey placeholder; the single portfolio-company page (corporate/CompanyDetail.jsx) shows the subsidiary banner as its photo strip.</w:t>
      </w:r>
    </w:p>
    <w:p>
      <w:pPr>
        <w:pStyle w:val="BodyText"/>
      </w:pPr>
      <w:r>
        <w:t>•  Signed-in storefront: the subsidiary directory (Subsidiaries.jsx) shows the group hero banner at the top and each subsidiary's own banner on its card; the shop (Shop.jsx) shows the “One storefront for the whole group” promo strip, and swaps it for the selected subsidiary's banner when the company filter is set.</w:t>
      </w:r>
    </w:p>
    <w:p>
      <w:pPr>
        <w:pStyle w:val="BodyText"/>
      </w:pPr>
      <w:r>
        <w:t>•  CSS: img rules for .mc-co-photo and .mc-photo-strip (object-fit cover, left-anchored) and new .sf-hero-banner / .sf-shop-banner / .sf-sub-banner classes in storefront.css and corporate.css. The earlier .sf-hero / .mc-hero background-image treatment is unchanged.</w:t>
      </w:r>
    </w:p>
    <w:p>
      <w:pPr>
        <w:pStyle w:val="BodyText"/>
      </w:pPr>
      <w:r>
        <w:t>The admin-managed text PromoBanner rail on the signed-in home was already displayed and is unchanged (three curated rows since the previous update). No API surface change — OpenAPI unchanged.</w:t>
      </w:r>
    </w:p>
    <w:p>
      <w:pPr>
        <w:pStyle w:val="BodyText"/>
      </w:pPr>
      <w:r>
        <w:t>Verified: the storefront builds (vite build, no new warnings); the admin build is unaffected; headless screenshots of the landing Companies grid, the Companies directory, the subsidiary directory and the shop show the banners rendering correctly (per-subsidiary accent hues, left-anchored crop, group hero and promo strip in place).</w:t>
      </w:r>
    </w:p>
    <w:p>
      <w:pPr>
        <w:pStyle w:val="Heading2"/>
      </w:pPr>
      <w:r>
        <w:t>Impact on this document</w:t>
      </w:r>
    </w:p>
    <w:p>
      <w:pPr>
        <w:pStyle w:val="BodyText"/>
      </w:pPr>
      <w:r>
        <w:t>Deployment — a storefront rebuild ships the change; the banner assets already sit in storefront/public/brand/banners/. No migration, backend or config change.</w:t>
      </w:r>
    </w:p>
    <w:p>
      <w:pPr>
        <w:pStyle w:val="Heading1"/>
      </w:pPr>
      <w:r>
        <w:t>Implementation Status Update 65 (31 August 2026) — Delivery Management System for Morise Logistics Ltd — Specification (New Doc 22) + Phase 1 Back End</w:t>
      </w:r>
    </w:p>
    <w:p>
      <w:pPr>
        <w:pStyle w:val="BodyText"/>
      </w:pPr>
      <w:r>
        <w:t>As an administrator, the Managing Director asked for the concept of delivery to be added to the subsidiary Morise Logistics Ltd — a delivery capability that takes goods, services and invoices to customers who have placed orders through the group Customer Storefront, carrying each order from “ready for delivery” through dispatch and transit to a recorded proof of delivery. The delivery software's functional and technical scope has been captured as a new companion specification, docx/22_Delivery Management System — Feature Specification, restating the client-supplied Delivery-Software-Feature-Specification.docx in the same house format as docs 19, 20 and 21.</w:t>
      </w:r>
    </w:p>
    <w:p>
      <w:pPr>
        <w:pStyle w:val="BodyText"/>
      </w:pPr>
      <w:r>
        <w:t>The specification describes the full target platform (ten feature modules — customer delivery experience; driver / courier app; dispatch &amp; operations console; route optimisation; proof of delivery &amp; exceptions; document &amp; invoice delivery; pricing, zones &amp; fees; fleet &amp; driver management; notifications; reporting — plus architecture, roles and a roadmap). A Phase 1 back end covering the core of that workflow is already implemented in MBMS: Prisma migration 20260831120000_delivery (tables deliveries, delivery_drivers, delivery_events; status / kind / proof enums), a src/delivery/ NestJS module wired into AppModule, a staff API at /api/v1/delivery (list / create / assign driver / advance status / capture proof / fail / cancel, dispatch metrics, an eligible-orders queue, and driver CRUD) and a customer tracking read at GET /api/v1/customer-portal/orders/:id/delivery — every endpoint scope-checked and every mutation audited. Completing a goods delivery advances its order to “delivered”.</w:t>
      </w:r>
    </w:p>
    <w:p>
      <w:pPr>
        <w:pStyle w:val="BodyText"/>
      </w:pPr>
      <w:r>
        <w:t>The capability is not yet wired for use: the delivery.manage and delivery.viewAll permission codes are not in the seed permission catalogue and no role holds them, so every /api/v1/delivery call currently returns 403; there is no seed data, no “Delivery” screen in the Admin app and no tracking view in the storefront, and openapi.json has not been regenerated. Morise Logistics Ltd already exists as a live subsidiary (Jinja Branch; last-mile delivery service LOG-2003); the delivery hubs, departments and policies in doc 22 Section 8 remain proposals. The wider platform (mobile apps, route optimisation, the fee engine, telematics, notifications, driver analytics) is future scope.</w:t>
      </w:r>
    </w:p>
    <w:p>
      <w:pPr>
        <w:pStyle w:val="Heading2"/>
      </w:pPr>
      <w:r>
        <w:t>Impact on this document</w:t>
      </w:r>
    </w:p>
    <w:p>
      <w:pPr>
        <w:pStyle w:val="BodyText"/>
      </w:pPr>
      <w:r>
        <w:t>Deployment — migration 20260831120000_delivery ships with the next release (already applied in the dev database). No configuration change. Turning the capability on later is a seed change (add the two permission codes and grant them) plus the UI, not a further migration.</w:t>
      </w:r>
    </w:p>
    <w:p>
      <w:pPr>
        <w:pStyle w:val="Heading1"/>
      </w:pPr>
      <w:r>
        <w:t>Implementation Status Update 66 (31 August 2026) — Automatic Morise-Stamped Invoice on Customer-Acknowledged Delivery (Doc 22 Addendum)</w:t>
      </w:r>
    </w:p>
    <w:p>
      <w:pPr>
        <w:pStyle w:val="BodyText"/>
      </w:pPr>
      <w:r>
        <w:t>A customer has asked that, once the delivery persona from Morise Logistics Ltd has delivered the goods or services and the customer has acknowledged receiving them in good condition, MBMS automatically issues a Morise-stamped invoice for that order — one branded document that is the definitive proof of supply and of the customer's acceptance. The concept has been added to docx/22_Delivery Management System — Feature Specification as an addendum (“Customer Acknowledgement of Delivery &amp; the Automatic Morise-Stamped Invoice”).</w:t>
      </w:r>
    </w:p>
    <w:p>
      <w:pPr>
        <w:pStyle w:val="BodyText"/>
      </w:pPr>
      <w:r>
        <w:t>Mechanism. The delivery persona completes the delivery and captures proof of delivery (delivery — “delivered”, order — “delivered”). The customer is then prompted in the storefront to confirm the outcome — received in good condition, damaged, incomplete, or not received (proposed POST /api/v1/customer-portal/orders/:id/delivery/acknowledge, customer-JWT, audited). On a “good condition” acknowledgement the order's existing invoice is moved to an issued / stamped state and a Morise-stamped invoice PDF is generated — the Morise brand mark used as a seal, plus the delivery and acknowledgement details, in the customer's language. On any other outcome no stamp is issued: a delivery exception is opened and the invoice stays provisional.</w:t>
      </w:r>
    </w:p>
    <w:p>
      <w:pPr>
        <w:pStyle w:val="BodyText"/>
      </w:pPr>
      <w:r>
        <w:t>Status — specification only. It extends the Delivery Management System (doc 22, whose Phase 1 back end is present but switched off) and the existing per-order invoice with an issued / stamped state and a branded document. Nothing is built: there is no customer acknowledgement endpoint, no invoice-stamp fields or migration, and no brand mark in the invoice PDF (today a plain table with a text footer). Recorded as a doc 22 addendum plus this status-log entry; no code, schema, endpoint, permission or migration change; OpenAPI unchanged.</w:t>
      </w:r>
    </w:p>
    <w:p>
      <w:pPr>
        <w:pStyle w:val="Heading2"/>
      </w:pPr>
      <w:r>
        <w:t>Impact on this document</w:t>
      </w:r>
    </w:p>
    <w:p>
      <w:pPr>
        <w:pStyle w:val="BodyText"/>
      </w:pPr>
      <w:r>
        <w:t>Deployment — when built this ships a migration (the invoice fields) plus back-end and storefront changes. Nothing to deploy for this documentation update.</w:t>
      </w:r>
    </w:p>
    <w:p>
      <w:pPr>
        <w:pStyle w:val="Heading1"/>
      </w:pPr>
      <w:r>
        <w:t>Implementation Status Update 67 (31 August 2026) — Admin Assignment of a Morise Logistics Ltd Delivery Persona to an Order (Doc 22 Addendum)</w:t>
      </w:r>
    </w:p>
    <w:p>
      <w:pPr>
        <w:pStyle w:val="BodyText"/>
      </w:pPr>
      <w:r>
        <w:t>An administrator has asked to be able to assign a delivery persona (a driver / courier) from Morise Logistics Ltd to deliver the products or services on an order a customer has placed. The workflow has been recorded in docx/22_Delivery Management System — Feature Specification as an addendum (“Admin Assignment of a Morise Logistics Ltd Delivery Persona to an Order”), covering Sections 2.3 (Dispatch &amp; Operations Console) and 2.8 (Fleet &amp; Driver Management).</w:t>
      </w:r>
    </w:p>
    <w:p>
      <w:pPr>
        <w:pStyle w:val="BodyText"/>
      </w:pPr>
      <w:r>
        <w:t>A dispatcher (a user with delivery.manage) reviews the orders that can still be handed to Logistics (GET /api/v1/delivery/eligible-orders — a fulfilment-state order, not cancelled, without a delivery), creates a delivery against the chosen order (POST /api/v1/delivery, companyId = Morise Logistics Ltd, orderId — customer, origin company, drop address and delivery fee resolved from the order), and assigns a delivery persona from Morise Logistics Ltd's pool, either on create (driverId — status “assigned”) or afterwards (POST /api/v1/delivery/:id/assign with driverId, optional scheduledDate, note). Personas are delivery_drivers rows scoped to Morise Logistics Ltd (name, phone, licence, vehicle, active flag, optional Employee link) with their own CRUD and an open-delivery count; assignment is refused unless the persona is active and in the same company as the delivery. Assigning stamps assignedAt, moves a “pending” delivery to “assigned”, logs a delivery event and records a delivery.driver_assigned audit entry; a non-terminal delivery can be reassigned the same way. All of this is implemented in the Phase 1 back end.</w:t>
      </w:r>
    </w:p>
    <w:p>
      <w:pPr>
        <w:pStyle w:val="BodyText"/>
      </w:pPr>
      <w:r>
        <w:t>Not yet usable: the delivery.manage / delivery.viewAll permission codes are not in the seed permission catalogue and no role holds them, so every /api/v1/delivery call returns 403; there are no seeded Morise Logistics Ltd drivers, and there is no “Delivery” dispatch screen in the Admin app. Recorded as a doc 22 addendum plus this status-log entry; no code, schema, endpoint, permission or migration change; OpenAPI unchanged.</w:t>
      </w:r>
    </w:p>
    <w:p>
      <w:pPr>
        <w:pStyle w:val="Heading2"/>
      </w:pPr>
      <w:r>
        <w:t>Impact on this document</w:t>
      </w:r>
    </w:p>
    <w:p>
      <w:pPr>
        <w:pStyle w:val="BodyText"/>
      </w:pPr>
      <w:r>
        <w:t>Deployment — nothing to deploy: the endpoints and schema are already in the build and the database. Turning the workflow on is a seed change (the two permission codes plus grants) and the Admin dispatch screen.</w:t>
      </w:r>
    </w:p>
    <w:p>
      <w:pPr>
        <w:pStyle w:val="Heading1"/>
      </w:pPr>
      <w:r>
        <w:t>Implementation Status Update 68 (31 August 2026) — Delivery Module Activated — delivery.manage / delivery.viewAll Seeded &amp; Granted</w:t>
      </w:r>
    </w:p>
    <w:p>
      <w:pPr>
        <w:pStyle w:val="BodyText"/>
      </w:pPr>
      <w:r>
        <w:t>The Delivery Management System back end for Morise Logistics Ltd (docx/22; recorded across Updates 65—67) has been activated. Its two permission codes — delivery.manage and delivery.viewAll — have been added to the seed permission catalogue (prisma/seed.ts, domain operations) and granted to roles, so the dispatch API is now reachable and an authorised administrator can assign a delivery persona from Morise Logistics Ltd to a customer's order.</w:t>
      </w:r>
    </w:p>
    <w:p>
      <w:pPr>
        <w:pStyle w:val="BodyText"/>
      </w:pPr>
      <w:r>
        <w:t>Grants: delivery.manage + delivery.viewAll to Super Administrator, Managing Director, IT Administrator and Operations Manager; delivery.manage (own company scope) to Branch Manager; delivery.viewAll to Group CEO, Auditor, External Auditor, Board Member and Read-only User. Verified end to end against the running system: signed in as the Managing Director, GET /api/v1/delivery, /delivery/metrics, /delivery/eligible-orders and /delivery/drivers return 200 (they returned 403 before); a Morise Logistics Ltd delivery persona was created, a delivery (DEL-2026-0001) was created for a storefront order — the customer, drop address and delivery fee were resolved from the order — and the persona was assigned, moving the delivery pending → assigned, stamping assignedAt, appending a delivery event and recording a delivery.driver_assigned audit entry. The verification rows were then removed, so no delivery data is seeded.</w:t>
      </w:r>
    </w:p>
    <w:p>
      <w:pPr>
        <w:pStyle w:val="BodyText"/>
      </w:pPr>
      <w:r>
        <w:t>Seed data + grants only — no schema, endpoint, migration or application-code change; the endpoints were already built and wired (recorded in Update 65). This supersedes the “switched off / every /api/v1/delivery call returns 403” statements in Updates 65, 66 and 67 and their addenda. Still pending: seeded Morise Logistics Ltd delivery personas, an Admin “Delivery” dispatch screen (and a storefront tracking view), and an openapi.json regeneration so the endpoints appear in the published API contract.</w:t>
      </w:r>
    </w:p>
    <w:p>
      <w:pPr>
        <w:pStyle w:val="Heading2"/>
      </w:pPr>
      <w:r>
        <w:t>Impact on this document</w:t>
      </w:r>
    </w:p>
    <w:p>
      <w:pPr>
        <w:pStyle w:val="BodyText"/>
      </w:pPr>
      <w:r>
        <w:t>Deployment — activation ships in the seed (prisma/seed.ts, idempotent) — no migration, no configuration change. A deployed environment picks it up on its next seed run.</w:t>
      </w:r>
    </w:p>
    <w:p>
      <w:pPr>
        <w:pStyle w:val="Heading1"/>
      </w:pPr>
      <w:r>
        <w:t>Implementation Status Update 69 (31 August 2026) — Customer Storefront Wording: Services Catalog / Add to Invoice / Invoice</w:t>
      </w:r>
    </w:p>
    <w:p>
      <w:pPr>
        <w:pStyle w:val="BodyText"/>
      </w:pPr>
      <w:r>
        <w:t>An administrator asked for three wording changes in the Customer Storefront: “product catalog” becomes “services catalog”, the “Add to Cart” action becomes “Add to Invoice”, and “Cart” becomes “Invoice” throughout the shopping flow.</w:t>
      </w:r>
    </w:p>
    <w:p>
      <w:pPr>
        <w:pStyle w:val="BodyText"/>
      </w:pPr>
      <w:r>
        <w:t>The change is front-end text only. It updates the storefront's string catalogue: en.js (the master key set) in full — header.cart (Cart — Invoice), common.addToCart / productDetail.added / productDetail.addFromBranch (the “Add to Cart” / “Added to Cart” forms — the “Invoice” forms), shop.heading (“Product Catalog” — “Services Catalog”), shop.loadFailed, cart.crumb (“Shop / Cart” — “Shop / Invoice”), cart.heading (“Cart &amp; Checkout” — “Invoice &amp; Checkout”), cart.emptyLead, cart.browseCatalog, landing.feat.shop.title, and the landing hero / step / disclaimer prose that mentions “product catalog” or “your cart” — plus the matching, already-translated keys in the eight other full languages (French, Spanish, Portuguese, German, Italian, Swahili, Luganda, Arabic) and the two partial ones (Runyankole, Acholi), so no supported language shows the old wording. The header basket icon changes from 🛒 to 🧾.</w:t>
      </w:r>
    </w:p>
    <w:p>
      <w:pPr>
        <w:pStyle w:val="BodyText"/>
      </w:pPr>
      <w:r>
        <w:t>No route, component, API, permission or data-model change: the URL is still /cart, the React components (CartPage, CartProvider, lib/cart.jsx), the CSS classes and the orders / invoices back end are untouched — an order still creates its Invoice at order time exactly as before. Only the customer-facing labels change, to “services catalog”, “Add to Invoice” and “Invoice”. Verified with a production vite build (73 modules, no errors).</w:t>
      </w:r>
    </w:p>
    <w:p>
      <w:pPr>
        <w:pStyle w:val="Heading2"/>
      </w:pPr>
      <w:r>
        <w:t>Impact on this document</w:t>
      </w:r>
    </w:p>
    <w:p>
      <w:pPr>
        <w:pStyle w:val="BodyText"/>
      </w:pPr>
      <w:r>
        <w:t>Deployment — a storefront rebuild ships the change; no migration, backend or configuration change.</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pPr>
    <w:rPr>
      <w:rFonts w:ascii="Calibri;Arial;sans-serif" w:hAnsi="Calibri;Arial;sans-serif" w:eastAsia="Calibri;Arial;sans-serif" w:cs="Calibri;Arial;sans-serif"/>
      <w:color w:val="1A1A1A"/>
      <w:sz w:val="22"/>
      <w:szCs w:val="22"/>
      <w:lang w:val="en-US" w:eastAsia="zh-CN" w:bidi="hi-IN"/>
    </w:rPr>
  </w:style>
  <w:style w:type="paragraph" w:styleId="Heading1">
    <w:name w:val="heading 1"/>
    <w:basedOn w:val="Heading"/>
    <w:next w:val="BodyText"/>
    <w:qFormat/>
    <w:pPr/>
    <w:rPr>
      <w:b/>
      <w:bCs/>
      <w:color w:val="1F3864"/>
      <w:sz w:val="40"/>
      <w:szCs w:val="40"/>
    </w:rPr>
  </w:style>
  <w:style w:type="paragraph" w:styleId="Heading2">
    <w:name w:val="heading 2"/>
    <w:basedOn w:val="Heading"/>
    <w:next w:val="BodyText"/>
    <w:qFormat/>
    <w:pPr>
      <w:pBdr>
        <w:bottom w:val="single" w:sz="2" w:space="2" w:color="1F3864"/>
      </w:pBdr>
      <w:spacing w:before="330" w:after="120"/>
      <w:outlineLvl w:val="1"/>
    </w:pPr>
    <w:rPr>
      <w:rFonts w:ascii="Liberation Serif" w:hAnsi="Liberation Serif" w:eastAsia="Noto Serif CJK SC" w:cs="Noto Sans Devanagari"/>
      <w:b/>
      <w:bCs/>
      <w:color w:val="1F3864"/>
      <w:sz w:val="28"/>
      <w:szCs w:val="28"/>
    </w:rPr>
  </w:style>
  <w:style w:type="paragraph" w:styleId="Heading3">
    <w:name w:val="heading 3"/>
    <w:basedOn w:val="Heading"/>
    <w:next w:val="BodyText"/>
    <w:qFormat/>
    <w:pPr>
      <w:spacing w:before="210" w:after="120"/>
      <w:outlineLvl w:val="2"/>
    </w:pPr>
    <w:rPr>
      <w:rFonts w:ascii="Liberation Serif" w:hAnsi="Liberation Serif" w:eastAsia="Noto Serif CJK SC" w:cs="Noto Sans Devanagari"/>
      <w:b/>
      <w:bCs/>
      <w:color w:val="2E5395"/>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sz w:val="19"/>
      <w:szCs w:val="19"/>
      <w:shd w:fill="EFEFEF" w:val="clear"/>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z w:val="20"/>
      <w:szCs w:val="20"/>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864" w:val="clear"/>
      <w:jc w:val="left"/>
    </w:pPr>
    <w:rPr>
      <w:b/>
      <w:bCs/>
      <w:color w:val="FFFFFF"/>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Deployment Plan</dc:title>
</cp:coreProperties>
</file>

<file path=docProps/custom.xml><?xml version="1.0" encoding="utf-8"?>
<Properties xmlns="http://schemas.openxmlformats.org/officeDocument/2006/custom-properties" xmlns:vt="http://schemas.openxmlformats.org/officeDocument/2006/docPropsVTypes"/>
</file>