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Business case — the supplier master now carries several contacts per supplier, a suspend-and-reinstate cycle for risk, and a quarterly scorecard feeding a performance rating (Excellent / Good / Fair / Poor) with a trend and the supplier's AP position - the risk-management and evaluation value is delivered, not just blacklist.</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Business case — the group now runs multi-warehouse stock: per-site balances with a company roll-up, inter-warehouse transfers, returns, batch / expiry and serial tracking, minimum / maximum levels, and shortage / surplus / dead-stock / valuation reporting informing purchasing and write-offs.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Business case — the group can now run a warehouse floor: assign staff by role, receive against a document, pick / pack / dispatch an order, count and reconcile stock, and scan a barcode to find a product — all on top of the multi-warehouse inventory built earlier.</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Business case — one asset register for the group: register by category with depreciation defaults, tie an asset to its supplier and PO, run periodic condition inspections, track insurance cover and renewals, and read the full asset history and the fixed-asset register / depreciation schedule at any time.</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Business case — the group runs its vehicles from one register: ownership (owned / leased / financed / hired), the assigned driver, fuel spend and economy, service schedules and repairs, statutory renewals, accident history and total cost per kilometre — with fuel-consumption and expense reporting across the fleet.</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Business case — the group already runs its core operations and finance from one system; the value still to capture is the enterprise-management tier (contracts, legal, compliance, board, document store, loans, investments) and the integration / backup / API layer. The new alert feed turns the data already captured into day-to-day management attention.</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Business case — the objective's promise — one platform, seventeen answers on demand, with company / branch separation — is now directly demonstrable from a single screen and a single API call, with fifteen of the seventeen questions answered outright, one partial and one on the roadmap (investments).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Business case — staff see their finalised pay a pay-cycle earlier: the payslip is available the moment the run is approved, clearly marked “awaiting payment” until funds are released, which removes the blind window between approval and payment.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