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Feasibility — the supplier record, the AP invoice-approval workflow and GL posting are a solid base; requisitions, POs, RFQs and quotations are additive entities with a familiar approval-chain shape; the GRN / inspection step depends on an inbound-goods or inventory model that also does not exist yet.</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Feasibility — the supplier record, the sensitive-field masking and the AP statement are a solid base; a multi-contact list and evaluation / performance entities are additive; supplier documents wait on the project-wide object-storage decision.</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Feasibility — confirmed: the two new entities (supplier_contacts, supplier_evaluations) and the enum / column additions were additive and shipped without touching the existing supplier CRUD, masking or AP statement. Performance is a computed read, so no summary table to maintain.</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Feasibility — confirmed additive: the five new tables and the Product / StockMovement column additions shipped without touching the existing product CRUD, the storefront or Orders, which keep reading Product.stockQuantity (kept equal to the sum of the per-warehouse balances).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Feasibility — confirmed additive: the four document tables (staff, goods receipts, pick lists, stock counts) and the location kind shipped without touching the Inventory Management balance / roll-up / movement path, which every stock effect here reuses.</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Feasibility — confirmed additive: the four new tables and the four asset columns shipped without changing the existing depreciation, transfer or disposal logic; the history log is a light write added to methods that already ran.</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Feasibility — confirmed: a self-contained module (nine tables, one permission pair) that reuses the Asset link for insurance / inspection / value rather than duplicating them, and the Employee record for drivers. No change to existing modules.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Feasibility — confirmed: the outstanding sections are additive modules on the same NestJS + Prisma + Postgres base. The distributed architecture (Kafka, microservices, tracing stack) stays deferred for the proof-of-concept, with the event seam already in place. The alert feed needed no schema and no permission — pure aggregation.</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Feasibility — confirmed: the answer layer is a thin aggregator over the DashboardService financials and a handful of scoped queries; it needed no new tables and no new permission, and it inherits the BR-01 scoping the rest of the system already enforces.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Feasibility — a one-line change: the self-service payslip query already existed and was scoped per employee; only its run-status filter was broadened and two already-stored fields (status, approvedAt) surfaced. No new tables, endpoints or permissions.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