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Schema — no schema change — every answer derives from existing tables (companies, journal entries and accounts, invoices, supplier_invoices, assets, employees, projects, expenses, suppliers, vehicles + service_schedules, products). The one gap with no table is the Investment register, recorded as planned.</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Schema — no change. Uses the existing PayrollRun.status / approvedAt / paidAt and the Payslip → PayrollRun relation; PayrollRunStatus is unchanged (draft, approved, paid, cancelled).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