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p>
      <w:pPr>
        <w:pStyle w:val="Heading1"/>
      </w:pPr>
      <w:r>
        <w:t>94.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Development — shipped this pass: the Notifications &amp; Alerts feed. Build order for the remaining sections, by value: Document Management (unblocks contracts, legal, HR docs — needs object storage), then Contract Management, Loan &amp; Financing, Board &amp; Governance and Audit Management; Tax and Multi-Currency alongside Finance; Integrations, API keys, 2FA and automated backup / DR in the final phase.</w:t>
      </w:r>
    </w:p>
    <w:p>
      <w:pPr>
        <w:pStyle w:val="Heading1"/>
      </w:pPr>
      <w:r>
        <w:t>95.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Development — the master specification is now fully catalogued (sections 1-16 built, 17-57 mapped in Update 83, the Final System Objective answered here). The remaining build work is the roadmap items from Update 83 — most valuably the Document store, then Contract, Loan, Board, Investment and Audit Management, then the integration and security layer.</w:t>
      </w:r>
    </w:p>
    <w:p>
      <w:pPr>
        <w:pStyle w:val="Heading1"/>
      </w:pPr>
      <w:r>
        <w:t>96.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Development — a small self-service refinement on top of the payroll module (Update 41): the payslip becomes visible at approval rather than payment. The payroll backlog from Update 45 (salary-structure components, typed deductions, payslip PDF, bank payment schedules, reporting suite) is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