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p>
      <w:pPr>
        <w:pStyle w:val="Heading1"/>
      </w:pPr>
      <w:r>
        <w:t>90.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UI/UX — new: a Categories management modal (list + add + activate / deactivate), a per-asset detail dialog with Overview / Inspections / Insurance / History tabs, and a category picker plus supplier / PO / warranty inputs and an optional asset number on the registration form — all following the existing table + modal patterns.</w:t>
      </w:r>
    </w:p>
    <w:p>
      <w:pPr>
        <w:pStyle w:val="Heading1"/>
      </w:pPr>
      <w:r>
        <w:t>91.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UI/UX — new: a Fleet screen with a vehicle table, a Register-vehicle modal, a per-vehicle detail dialog with Summary / Drivers / Fuel / Odometer / Service / Renewals / Accidents / Expenses tabs (list + add-action modal each), and a Reports tab with a report picker and per-report tables — following the existing table + modal patterns.</w:t>
      </w:r>
    </w:p>
    <w:p>
      <w:pPr>
        <w:pStyle w:val="Heading1"/>
      </w:pPr>
      <w:r>
        <w:t>92.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UI/UX — the Alerts screen follows the existing dashboard patterns — a severity KPI row, a filter card with clickable category chips carrying counts, and a table with a severity pill, category, title + detail, date and amount. Mobile Access (section 40) remains responsive-layout rather than a dedicated client.</w:t>
      </w:r>
    </w:p>
    <w:p>
      <w:pPr>
        <w:pStyle w:val="Heading1"/>
      </w:pPr>
      <w:r>
        <w:t>93.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UI/UX — the Executive Q&amp;A screen follows the dashboard pattern — a six-tile key-figure strip, then a stack of cards, each with a status pill on the left, the question and its plain-language answer in the middle, the headline value on the right, and an expandable per-company / per-item table.</w:t>
      </w:r>
    </w:p>
    <w:p>
      <w:pPr>
        <w:pStyle w:val="Heading1"/>
      </w:pPr>
      <w:r>
        <w:t>94.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UI/UX — the My Payslips table adds a Status column between Period and the money columns: an amber badge “Approved · awaiting payment” or a green badge “Paid · &lt;date&gt;”; the detail dialog repeats the badge under the period heading. Empty-state copy updated from “has been paid” to “has been approved”.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