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System Design Document</w:t>
      </w:r>
    </w:p>
    <w:p>
      <w:pPr>
        <w:pStyle w:val="BodyText"/>
        <w:bidi w:val="0"/>
        <w:spacing w:before="30" w:after="283"/>
        <w:ind w:hanging="0" w:left="0" w:right="0"/>
        <w:jc w:val="left"/>
        <w:rPr>
          <w:color w:val="444444"/>
          <w:sz w:val="24"/>
        </w:rPr>
      </w:pPr>
      <w:r>
        <w:rPr>
          <w:color w:val="444444"/>
          <w:sz w:val="24"/>
        </w:rPr>
        <w:t>Morise Holdings Limited Business Management System (MBMS) — Phase 1 (Core / MVP)</w:t>
      </w:r>
    </w:p>
    <w:tbl>
      <w:tblPr>
        <w:tblW w:w="11339" w:type="dxa"/>
        <w:jc w:val="left"/>
        <w:tblInd w:w="28" w:type="dxa"/>
        <w:tblLayout w:type="fixed"/>
        <w:tblCellMar>
          <w:top w:w="28" w:type="dxa"/>
          <w:left w:w="28" w:type="dxa"/>
          <w:bottom w:w="28" w:type="dxa"/>
          <w:right w:w="28" w:type="dxa"/>
        </w:tblCellMar>
      </w:tblPr>
      <w:tblGrid>
        <w:gridCol w:w="1882"/>
        <w:gridCol w:w="9457"/>
      </w:tblGrid>
      <w:tr>
        <w:trPr/>
        <w:tc>
          <w:tcPr>
            <w:tcW w:w="1882" w:type="dxa"/>
            <w:tcBorders/>
            <w:vAlign w:val="center"/>
          </w:tcPr>
          <w:p>
            <w:pPr>
              <w:pStyle w:val="TableContents"/>
              <w:bidi w:val="0"/>
              <w:spacing w:before="0" w:after="283"/>
              <w:jc w:val="left"/>
              <w:rPr>
                <w:b/>
              </w:rPr>
            </w:pPr>
            <w:r>
              <w:rPr>
                <w:b/>
              </w:rPr>
              <w:t>Document Type:</w:t>
            </w:r>
          </w:p>
        </w:tc>
        <w:tc>
          <w:tcPr>
            <w:tcW w:w="9457" w:type="dxa"/>
            <w:tcBorders/>
            <w:vAlign w:val="center"/>
          </w:tcPr>
          <w:p>
            <w:pPr>
              <w:pStyle w:val="TableContents"/>
              <w:bidi w:val="0"/>
              <w:spacing w:before="0" w:after="283"/>
              <w:jc w:val="left"/>
              <w:rPr/>
            </w:pPr>
            <w:r>
              <w:rPr/>
              <w:t>System Design Document</w:t>
            </w:r>
          </w:p>
        </w:tc>
      </w:tr>
      <w:tr>
        <w:trPr/>
        <w:tc>
          <w:tcPr>
            <w:tcW w:w="1882" w:type="dxa"/>
            <w:tcBorders/>
            <w:vAlign w:val="center"/>
          </w:tcPr>
          <w:p>
            <w:pPr>
              <w:pStyle w:val="TableContents"/>
              <w:bidi w:val="0"/>
              <w:spacing w:before="0" w:after="283"/>
              <w:jc w:val="left"/>
              <w:rPr>
                <w:b/>
              </w:rPr>
            </w:pPr>
            <w:r>
              <w:rPr>
                <w:b/>
              </w:rPr>
              <w:t>Purpose:</w:t>
            </w:r>
          </w:p>
        </w:tc>
        <w:tc>
          <w:tcPr>
            <w:tcW w:w="9457" w:type="dxa"/>
            <w:tcBorders/>
            <w:vAlign w:val="center"/>
          </w:tcPr>
          <w:p>
            <w:pPr>
              <w:pStyle w:val="TableContents"/>
              <w:bidi w:val="0"/>
              <w:spacing w:before="0" w:after="283"/>
              <w:jc w:val="left"/>
              <w:rPr/>
            </w:pPr>
            <w:r>
              <w:rPr/>
              <w:t>Defines architecture and technical design</w:t>
            </w:r>
          </w:p>
        </w:tc>
      </w:tr>
      <w:tr>
        <w:trPr/>
        <w:tc>
          <w:tcPr>
            <w:tcW w:w="1882" w:type="dxa"/>
            <w:tcBorders/>
            <w:vAlign w:val="center"/>
          </w:tcPr>
          <w:p>
            <w:pPr>
              <w:pStyle w:val="TableContents"/>
              <w:bidi w:val="0"/>
              <w:spacing w:before="0" w:after="283"/>
              <w:jc w:val="left"/>
              <w:rPr>
                <w:b/>
              </w:rPr>
            </w:pPr>
            <w:r>
              <w:rPr>
                <w:b/>
              </w:rPr>
              <w:t>Version:</w:t>
            </w:r>
          </w:p>
        </w:tc>
        <w:tc>
          <w:tcPr>
            <w:tcW w:w="9457" w:type="dxa"/>
            <w:tcBorders/>
            <w:vAlign w:val="center"/>
          </w:tcPr>
          <w:p>
            <w:pPr>
              <w:pStyle w:val="TableContents"/>
              <w:bidi w:val="0"/>
              <w:spacing w:before="0" w:after="283"/>
              <w:jc w:val="left"/>
              <w:rPr/>
            </w:pPr>
            <w:r>
              <w:rPr/>
              <w:t>2.0 (Draft — microservices architecture)</w:t>
            </w:r>
          </w:p>
        </w:tc>
      </w:tr>
      <w:tr>
        <w:trPr/>
        <w:tc>
          <w:tcPr>
            <w:tcW w:w="1882" w:type="dxa"/>
            <w:tcBorders/>
            <w:vAlign w:val="center"/>
          </w:tcPr>
          <w:p>
            <w:pPr>
              <w:pStyle w:val="TableContents"/>
              <w:bidi w:val="0"/>
              <w:spacing w:before="0" w:after="283"/>
              <w:jc w:val="left"/>
              <w:rPr>
                <w:b/>
              </w:rPr>
            </w:pPr>
            <w:r>
              <w:rPr>
                <w:b/>
              </w:rPr>
              <w:t>Date:</w:t>
            </w:r>
          </w:p>
        </w:tc>
        <w:tc>
          <w:tcPr>
            <w:tcW w:w="9457" w:type="dxa"/>
            <w:tcBorders/>
            <w:vAlign w:val="center"/>
          </w:tcPr>
          <w:p>
            <w:pPr>
              <w:pStyle w:val="TableContents"/>
              <w:bidi w:val="0"/>
              <w:spacing w:before="0" w:after="283"/>
              <w:jc w:val="left"/>
              <w:rPr/>
            </w:pPr>
            <w:r>
              <w:rPr/>
              <w:t>18 August 2026</w:t>
            </w:r>
          </w:p>
        </w:tc>
      </w:tr>
      <w:tr>
        <w:trPr/>
        <w:tc>
          <w:tcPr>
            <w:tcW w:w="1882" w:type="dxa"/>
            <w:tcBorders/>
            <w:vAlign w:val="center"/>
          </w:tcPr>
          <w:p>
            <w:pPr>
              <w:pStyle w:val="TableContents"/>
              <w:bidi w:val="0"/>
              <w:spacing w:before="0" w:after="283"/>
              <w:jc w:val="left"/>
              <w:rPr>
                <w:b/>
              </w:rPr>
            </w:pPr>
            <w:r>
              <w:rPr>
                <w:b/>
              </w:rPr>
              <w:t>Prepared by:</w:t>
            </w:r>
          </w:p>
        </w:tc>
        <w:tc>
          <w:tcPr>
            <w:tcW w:w="9457" w:type="dxa"/>
            <w:tcBorders/>
            <w:vAlign w:val="center"/>
          </w:tcPr>
          <w:p>
            <w:pPr>
              <w:pStyle w:val="TableContents"/>
              <w:bidi w:val="0"/>
              <w:spacing w:before="0" w:after="283"/>
              <w:jc w:val="left"/>
              <w:rPr/>
            </w:pPr>
            <w:r>
              <w:rPr/>
              <w:t>Obeke Godfrey, Director</w:t>
            </w:r>
          </w:p>
        </w:tc>
      </w:tr>
      <w:tr>
        <w:trPr/>
        <w:tc>
          <w:tcPr>
            <w:tcW w:w="1882" w:type="dxa"/>
            <w:tcBorders/>
            <w:vAlign w:val="center"/>
          </w:tcPr>
          <w:p>
            <w:pPr>
              <w:pStyle w:val="TableContents"/>
              <w:bidi w:val="0"/>
              <w:spacing w:before="0" w:after="283"/>
              <w:jc w:val="left"/>
              <w:rPr>
                <w:b/>
              </w:rPr>
            </w:pPr>
            <w:r>
              <w:rPr>
                <w:b/>
              </w:rPr>
              <w:t>Prepared for:</w:t>
            </w:r>
          </w:p>
        </w:tc>
        <w:tc>
          <w:tcPr>
            <w:tcW w:w="9457" w:type="dxa"/>
            <w:tcBorders/>
            <w:vAlign w:val="center"/>
          </w:tcPr>
          <w:p>
            <w:pPr>
              <w:pStyle w:val="TableContents"/>
              <w:bidi w:val="0"/>
              <w:spacing w:before="0" w:after="283"/>
              <w:jc w:val="left"/>
              <w:rPr/>
            </w:pPr>
            <w:r>
              <w:rPr/>
              <w:t>Development Team / Technology Partner, Morise Holdings Limited</w:t>
            </w:r>
          </w:p>
        </w:tc>
      </w:tr>
      <w:tr>
        <w:trPr/>
        <w:tc>
          <w:tcPr>
            <w:tcW w:w="1882" w:type="dxa"/>
            <w:tcBorders/>
            <w:vAlign w:val="center"/>
          </w:tcPr>
          <w:p>
            <w:pPr>
              <w:pStyle w:val="TableContents"/>
              <w:bidi w:val="0"/>
              <w:spacing w:before="0" w:after="283"/>
              <w:jc w:val="left"/>
              <w:rPr>
                <w:b/>
              </w:rPr>
            </w:pPr>
            <w:r>
              <w:rPr>
                <w:b/>
              </w:rPr>
              <w:t>Related documents:</w:t>
            </w:r>
          </w:p>
        </w:tc>
        <w:tc>
          <w:tcPr>
            <w:tcW w:w="9457" w:type="dxa"/>
            <w:tcBorders/>
            <w:vAlign w:val="center"/>
          </w:tcPr>
          <w:p>
            <w:pPr>
              <w:pStyle w:val="TableContents"/>
              <w:bidi w:val="0"/>
              <w:spacing w:before="0" w:after="283"/>
              <w:jc w:val="left"/>
              <w:rPr/>
            </w:pPr>
            <w:r>
              <w:rPr/>
              <w:t>03_Feasibility Study; 04_Software Requirements Specification; 05_Business Process Document; 06_User Stories, Epics and Product Backlog</w:t>
            </w:r>
          </w:p>
        </w:tc>
      </w:tr>
    </w:tbl>
    <w:p>
      <w:pPr>
        <w:pStyle w:val="Heading2"/>
        <w:bidi w:val="0"/>
        <w:jc w:val="left"/>
        <w:rPr/>
      </w:pPr>
      <w:r>
        <w:rPr/>
        <w:t>1. Purpose and Superseding Decision</w:t>
      </w:r>
    </w:p>
    <w:p>
      <w:pPr>
        <w:pStyle w:val="BodyText"/>
        <w:bidi w:val="0"/>
        <w:jc w:val="left"/>
        <w:rPr/>
      </w:pPr>
      <w:r>
        <w:rPr/>
        <w:t>This document defines the technical architecture for Phase 1 of MBMS. Version 1.0 of this document (per the Feasibility Study's Section 3.1.1 recommendation) proposed a modular-monolith approach for Phase 1, deferring service decomposition, Kafka event streaming and the full observability stack to later phases, on the grounds that Phase 1's scale did not yet justify that operational complexity.</w:t>
      </w:r>
    </w:p>
    <w:p>
      <w:pPr>
        <w:pStyle w:val="BodyText"/>
        <w:bidi w:val="0"/>
        <w:spacing w:before="150" w:after="150"/>
        <w:ind w:hanging="0" w:left="150" w:right="150"/>
        <w:jc w:val="left"/>
        <w:rPr>
          <w:sz w:val="21"/>
          <w:bdr w:val="single" w:sz="24" w:space="9" w:color="1F3864"/>
          <w:shd w:fill="EAF1FB" w:val="clear"/>
        </w:rPr>
      </w:pPr>
      <w:r>
        <w:rPr>
          <w:b/>
          <w:sz w:val="21"/>
          <w:bdr w:val="single" w:sz="24" w:space="9" w:color="1F3864"/>
          <w:shd w:fill="EAF1FB" w:val="clear"/>
        </w:rPr>
        <w:t>Superseding decision:</w:t>
      </w:r>
      <w:r>
        <w:rPr>
          <w:sz w:val="21"/>
          <w:bdr w:val="single" w:sz="24" w:space="9" w:color="1F3864"/>
          <w:shd w:fill="EAF1FB" w:val="clear"/>
        </w:rPr>
        <w:t xml:space="preserve"> the Group has directed that Phase 1 be built as a </w:t>
      </w:r>
      <w:r>
        <w:rPr>
          <w:b/>
          <w:sz w:val="21"/>
          <w:bdr w:val="single" w:sz="24" w:space="9" w:color="1F3864"/>
          <w:shd w:fill="EAF1FB" w:val="clear"/>
        </w:rPr>
        <w:t>microservices architecture</w:t>
      </w:r>
      <w:r>
        <w:rPr>
          <w:sz w:val="21"/>
          <w:bdr w:val="single" w:sz="24" w:space="9" w:color="1F3864"/>
          <w:shd w:fill="EAF1FB" w:val="clear"/>
        </w:rPr>
        <w:t xml:space="preserve"> from the outset, using the full technology stack confirmed in the system scope document (Node.js/NestJS/Fastify, PostgreSQL, Redis, Kafka, Docker, GitLab CI, Prometheus/Grafana, Jaeger, EFK, Ansible). This version (2.0) replaces the modular-monolith design with a microservices design and formally records that decision. The trade-off the Feasibility Study raised — higher operational complexity and skills requirements for a Phase 1 team — is accepted by this decision and actively managed through the design choices in this document (particularly Sections 6, 11 and 12), rather than avoided by deferral.</w:t>
      </w:r>
    </w:p>
    <w:p>
      <w:pPr>
        <w:pStyle w:val="Heading2"/>
        <w:bidi w:val="0"/>
        <w:ind w:hanging="0"/>
        <w:jc w:val="left"/>
        <w:rPr/>
      </w:pPr>
      <w:r>
        <w:rPr/>
        <w:t>2. Architecture Decision Records</w:t>
      </w:r>
    </w:p>
    <w:tbl>
      <w:tblPr>
        <w:tblW w:w="11339" w:type="dxa"/>
        <w:jc w:val="left"/>
        <w:tblInd w:w="28" w:type="dxa"/>
        <w:tblLayout w:type="fixed"/>
        <w:tblCellMar>
          <w:top w:w="28" w:type="dxa"/>
          <w:left w:w="28" w:type="dxa"/>
          <w:bottom w:w="28" w:type="dxa"/>
          <w:right w:w="28" w:type="dxa"/>
        </w:tblCellMar>
      </w:tblPr>
      <w:tblGrid>
        <w:gridCol w:w="970"/>
        <w:gridCol w:w="5486"/>
        <w:gridCol w:w="4883"/>
      </w:tblGrid>
      <w:tr>
        <w:trPr/>
        <w:tc>
          <w:tcPr>
            <w:tcW w:w="970" w:type="dxa"/>
            <w:tcBorders/>
            <w:vAlign w:val="center"/>
          </w:tcPr>
          <w:p>
            <w:pPr>
              <w:pStyle w:val="TableHeading"/>
              <w:suppressLineNumbers/>
              <w:shd w:fill="1F3864" w:val="clear"/>
              <w:bidi w:val="0"/>
              <w:spacing w:before="0" w:after="283"/>
              <w:jc w:val="left"/>
              <w:rPr/>
            </w:pPr>
            <w:r>
              <w:rPr/>
              <w:t>#</w:t>
            </w:r>
          </w:p>
        </w:tc>
        <w:tc>
          <w:tcPr>
            <w:tcW w:w="5486" w:type="dxa"/>
            <w:tcBorders/>
            <w:vAlign w:val="center"/>
          </w:tcPr>
          <w:p>
            <w:pPr>
              <w:pStyle w:val="TableHeading"/>
              <w:suppressLineNumbers/>
              <w:shd w:fill="1F3864" w:val="clear"/>
              <w:bidi w:val="0"/>
              <w:spacing w:before="0" w:after="283"/>
              <w:jc w:val="left"/>
              <w:rPr/>
            </w:pPr>
            <w:r>
              <w:rPr/>
              <w:t>Decision</w:t>
            </w:r>
          </w:p>
        </w:tc>
        <w:tc>
          <w:tcPr>
            <w:tcW w:w="4883" w:type="dxa"/>
            <w:tcBorders/>
            <w:vAlign w:val="center"/>
          </w:tcPr>
          <w:p>
            <w:pPr>
              <w:pStyle w:val="TableHeading"/>
              <w:suppressLineNumbers/>
              <w:shd w:fill="1F3864" w:val="clear"/>
              <w:bidi w:val="0"/>
              <w:spacing w:before="0" w:after="283"/>
              <w:jc w:val="left"/>
              <w:rPr/>
            </w:pPr>
            <w:r>
              <w:rPr/>
              <w:t>Rationale</w:t>
            </w:r>
          </w:p>
        </w:tc>
      </w:tr>
      <w:tr>
        <w:trPr/>
        <w:tc>
          <w:tcPr>
            <w:tcW w:w="970" w:type="dxa"/>
            <w:tcBorders/>
            <w:vAlign w:val="center"/>
          </w:tcPr>
          <w:p>
            <w:pPr>
              <w:pStyle w:val="TableContents"/>
              <w:bidi w:val="0"/>
              <w:spacing w:before="0" w:after="283"/>
              <w:jc w:val="left"/>
              <w:rPr/>
            </w:pPr>
            <w:r>
              <w:rPr/>
              <w:t>ADR-01</w:t>
            </w:r>
          </w:p>
        </w:tc>
        <w:tc>
          <w:tcPr>
            <w:tcW w:w="5486" w:type="dxa"/>
            <w:tcBorders/>
            <w:vAlign w:val="center"/>
          </w:tcPr>
          <w:p>
            <w:pPr>
              <w:pStyle w:val="TableContents"/>
              <w:bidi w:val="0"/>
              <w:spacing w:before="0" w:after="283"/>
              <w:jc w:val="left"/>
              <w:rPr/>
            </w:pPr>
            <w:r>
              <w:rPr/>
              <w:t>Adopt Node.js, NestJS, Fastify, PostgreSQL, Redis and Kafka, as confirmed in the system scope document.</w:t>
            </w:r>
          </w:p>
        </w:tc>
        <w:tc>
          <w:tcPr>
            <w:tcW w:w="4883" w:type="dxa"/>
            <w:tcBorders/>
            <w:vAlign w:val="center"/>
          </w:tcPr>
          <w:p>
            <w:pPr>
              <w:pStyle w:val="TableContents"/>
              <w:bidi w:val="0"/>
              <w:spacing w:before="0" w:after="283"/>
              <w:jc w:val="left"/>
              <w:rPr/>
            </w:pPr>
            <w:r>
              <w:rPr/>
              <w:t>Matches the Group's confirmed technical direction (morise.docx, System Architecture section)</w:t>
            </w:r>
          </w:p>
        </w:tc>
      </w:tr>
      <w:tr>
        <w:trPr/>
        <w:tc>
          <w:tcPr>
            <w:tcW w:w="970" w:type="dxa"/>
            <w:tcBorders/>
            <w:vAlign w:val="center"/>
          </w:tcPr>
          <w:p>
            <w:pPr>
              <w:pStyle w:val="TableContents"/>
              <w:bidi w:val="0"/>
              <w:spacing w:before="0" w:after="283"/>
              <w:jc w:val="left"/>
              <w:rPr/>
            </w:pPr>
            <w:r>
              <w:rPr/>
              <w:t xml:space="preserve">ADR-02 </w:t>
            </w:r>
            <w:r>
              <w:rPr>
                <w:i/>
              </w:rPr>
              <w:t>(revised)</w:t>
            </w:r>
          </w:p>
        </w:tc>
        <w:tc>
          <w:tcPr>
            <w:tcW w:w="5486" w:type="dxa"/>
            <w:tcBorders/>
            <w:vAlign w:val="center"/>
          </w:tcPr>
          <w:p>
            <w:pPr>
              <w:pStyle w:val="TableContents"/>
              <w:bidi w:val="0"/>
              <w:spacing w:before="0" w:after="283"/>
              <w:jc w:val="left"/>
              <w:rPr/>
            </w:pPr>
            <w:r>
              <w:rPr/>
              <w:t>Build Phase 1 as a set of independently deployable microservices, decomposed along business-domain boundaries (Section 3).</w:t>
            </w:r>
          </w:p>
        </w:tc>
        <w:tc>
          <w:tcPr>
            <w:tcW w:w="4883" w:type="dxa"/>
            <w:tcBorders/>
            <w:vAlign w:val="center"/>
          </w:tcPr>
          <w:p>
            <w:pPr>
              <w:pStyle w:val="TableContents"/>
              <w:bidi w:val="0"/>
              <w:spacing w:before="0" w:after="283"/>
              <w:jc w:val="left"/>
              <w:rPr/>
            </w:pPr>
            <w:r>
              <w:rPr/>
              <w:t>Per Group direction, superseding the Feasibility Study's phased-adoption recommendation (Section 1)</w:t>
            </w:r>
          </w:p>
        </w:tc>
      </w:tr>
      <w:tr>
        <w:trPr/>
        <w:tc>
          <w:tcPr>
            <w:tcW w:w="970" w:type="dxa"/>
            <w:tcBorders/>
            <w:vAlign w:val="center"/>
          </w:tcPr>
          <w:p>
            <w:pPr>
              <w:pStyle w:val="TableContents"/>
              <w:bidi w:val="0"/>
              <w:spacing w:before="0" w:after="283"/>
              <w:jc w:val="left"/>
              <w:rPr/>
            </w:pPr>
            <w:r>
              <w:rPr/>
              <w:t xml:space="preserve">ADR-03 </w:t>
            </w:r>
            <w:r>
              <w:rPr>
                <w:i/>
              </w:rPr>
              <w:t>(revised)</w:t>
            </w:r>
          </w:p>
        </w:tc>
        <w:tc>
          <w:tcPr>
            <w:tcW w:w="5486" w:type="dxa"/>
            <w:tcBorders/>
            <w:vAlign w:val="center"/>
          </w:tcPr>
          <w:p>
            <w:pPr>
              <w:pStyle w:val="TableContents"/>
              <w:bidi w:val="0"/>
              <w:spacing w:before="0" w:after="283"/>
              <w:jc w:val="left"/>
              <w:rPr/>
            </w:pPr>
            <w:r>
              <w:rPr/>
              <w:t>Adopt Kafka event streaming and the full observability stack (Prometheus/Grafana, Jaeger, EFK) from Phase 1, not deferred.</w:t>
            </w:r>
          </w:p>
        </w:tc>
        <w:tc>
          <w:tcPr>
            <w:tcW w:w="4883" w:type="dxa"/>
            <w:tcBorders/>
            <w:vAlign w:val="center"/>
          </w:tcPr>
          <w:p>
            <w:pPr>
              <w:pStyle w:val="TableContents"/>
              <w:bidi w:val="0"/>
              <w:spacing w:before="0" w:after="283"/>
              <w:jc w:val="left"/>
              <w:rPr/>
            </w:pPr>
            <w:r>
              <w:rPr/>
              <w:t>Necessary consequence of ADR-02 — operating multiple independent services without event streaming and cross-service observability is materially riskier than operating them with it</w:t>
            </w:r>
          </w:p>
        </w:tc>
      </w:tr>
      <w:tr>
        <w:trPr/>
        <w:tc>
          <w:tcPr>
            <w:tcW w:w="970" w:type="dxa"/>
            <w:tcBorders/>
            <w:vAlign w:val="center"/>
          </w:tcPr>
          <w:p>
            <w:pPr>
              <w:pStyle w:val="TableContents"/>
              <w:bidi w:val="0"/>
              <w:spacing w:before="0" w:after="283"/>
              <w:jc w:val="left"/>
              <w:rPr/>
            </w:pPr>
            <w:r>
              <w:rPr/>
              <w:t xml:space="preserve">ADR-04 </w:t>
            </w:r>
            <w:r>
              <w:rPr>
                <w:i/>
              </w:rPr>
              <w:t>(revised)</w:t>
            </w:r>
          </w:p>
        </w:tc>
        <w:tc>
          <w:tcPr>
            <w:tcW w:w="5486" w:type="dxa"/>
            <w:tcBorders/>
            <w:vAlign w:val="center"/>
          </w:tcPr>
          <w:p>
            <w:pPr>
              <w:pStyle w:val="TableContents"/>
              <w:bidi w:val="0"/>
              <w:spacing w:before="0" w:after="283"/>
              <w:jc w:val="left"/>
              <w:rPr/>
            </w:pPr>
            <w:r>
              <w:rPr/>
              <w:t>Adopt a database-per-service pattern: each microservice owns its own PostgreSQL schema, with no cross-service foreign keys.</w:t>
            </w:r>
          </w:p>
        </w:tc>
        <w:tc>
          <w:tcPr>
            <w:tcW w:w="4883" w:type="dxa"/>
            <w:tcBorders/>
            <w:vAlign w:val="center"/>
          </w:tcPr>
          <w:p>
            <w:pPr>
              <w:pStyle w:val="TableContents"/>
              <w:bidi w:val="0"/>
              <w:spacing w:before="0" w:after="283"/>
              <w:jc w:val="left"/>
              <w:rPr/>
            </w:pPr>
            <w:r>
              <w:rPr/>
              <w:t>Standard microservices data-ownership principle; keeps each service independently deployable, consistent with ADR-02</w:t>
            </w:r>
          </w:p>
        </w:tc>
      </w:tr>
      <w:tr>
        <w:trPr/>
        <w:tc>
          <w:tcPr>
            <w:tcW w:w="970" w:type="dxa"/>
            <w:tcBorders/>
            <w:vAlign w:val="center"/>
          </w:tcPr>
          <w:p>
            <w:pPr>
              <w:pStyle w:val="TableContents"/>
              <w:bidi w:val="0"/>
              <w:spacing w:before="0" w:after="283"/>
              <w:jc w:val="left"/>
              <w:rPr/>
            </w:pPr>
            <w:r>
              <w:rPr/>
              <w:t xml:space="preserve">ADR-05 </w:t>
            </w:r>
            <w:r>
              <w:rPr>
                <w:i/>
              </w:rPr>
              <w:t>(revised)</w:t>
            </w:r>
          </w:p>
        </w:tc>
        <w:tc>
          <w:tcPr>
            <w:tcW w:w="5486" w:type="dxa"/>
            <w:tcBorders/>
            <w:vAlign w:val="center"/>
          </w:tcPr>
          <w:p>
            <w:pPr>
              <w:pStyle w:val="TableContents"/>
              <w:bidi w:val="0"/>
              <w:spacing w:before="0" w:after="283"/>
              <w:jc w:val="left"/>
              <w:rPr/>
            </w:pPr>
            <w:r>
              <w:rPr/>
              <w:t>Deploy each service as its own Docker container, orchestrated via AWS ECS with Fargate (managed container orchestration).</w:t>
            </w:r>
          </w:p>
        </w:tc>
        <w:tc>
          <w:tcPr>
            <w:tcW w:w="4883" w:type="dxa"/>
            <w:tcBorders/>
            <w:vAlign w:val="center"/>
          </w:tcPr>
          <w:p>
            <w:pPr>
              <w:pStyle w:val="TableContents"/>
              <w:bidi w:val="0"/>
              <w:spacing w:before="0" w:after="283"/>
              <w:jc w:val="left"/>
              <w:rPr/>
            </w:pPr>
            <w:r>
              <w:rPr/>
              <w:t>Provides real service isolation and independent scaling without the operational burden of self-managing a Kubernetes control plane, which the Feasibility Study identified as a skills risk for a small Phase 1 team</w:t>
            </w:r>
          </w:p>
        </w:tc>
      </w:tr>
      <w:tr>
        <w:trPr/>
        <w:tc>
          <w:tcPr>
            <w:tcW w:w="970" w:type="dxa"/>
            <w:tcBorders/>
            <w:vAlign w:val="center"/>
          </w:tcPr>
          <w:p>
            <w:pPr>
              <w:pStyle w:val="TableContents"/>
              <w:bidi w:val="0"/>
              <w:spacing w:before="0" w:after="283"/>
              <w:jc w:val="left"/>
              <w:rPr/>
            </w:pPr>
            <w:r>
              <w:rPr/>
              <w:t>ADR-06</w:t>
            </w:r>
          </w:p>
        </w:tc>
        <w:tc>
          <w:tcPr>
            <w:tcW w:w="5486" w:type="dxa"/>
            <w:tcBorders/>
            <w:vAlign w:val="center"/>
          </w:tcPr>
          <w:p>
            <w:pPr>
              <w:pStyle w:val="TableContents"/>
              <w:bidi w:val="0"/>
              <w:spacing w:before="0" w:after="283"/>
              <w:jc w:val="left"/>
              <w:rPr/>
            </w:pPr>
            <w:r>
              <w:rPr/>
              <w:t>Use JWT with refresh tokens for authentication, validated at the API Gateway and propagated to services.</w:t>
            </w:r>
          </w:p>
        </w:tc>
        <w:tc>
          <w:tcPr>
            <w:tcW w:w="4883" w:type="dxa"/>
            <w:tcBorders/>
            <w:vAlign w:val="center"/>
          </w:tcPr>
          <w:p>
            <w:pPr>
              <w:pStyle w:val="TableContents"/>
              <w:bidi w:val="0"/>
              <w:spacing w:before="0" w:after="283"/>
              <w:jc w:val="left"/>
              <w:rPr/>
            </w:pPr>
            <w:r>
              <w:rPr/>
              <w:t>Matches the confirmed stack; suits a distributed services architecture</w:t>
            </w:r>
          </w:p>
        </w:tc>
      </w:tr>
      <w:tr>
        <w:trPr/>
        <w:tc>
          <w:tcPr>
            <w:tcW w:w="970" w:type="dxa"/>
            <w:tcBorders/>
            <w:vAlign w:val="center"/>
          </w:tcPr>
          <w:p>
            <w:pPr>
              <w:pStyle w:val="TableContents"/>
              <w:bidi w:val="0"/>
              <w:spacing w:before="0" w:after="283"/>
              <w:jc w:val="left"/>
              <w:rPr/>
            </w:pPr>
            <w:r>
              <w:rPr/>
              <w:t>ADR-07</w:t>
            </w:r>
          </w:p>
        </w:tc>
        <w:tc>
          <w:tcPr>
            <w:tcW w:w="5486" w:type="dxa"/>
            <w:tcBorders/>
            <w:vAlign w:val="center"/>
          </w:tcPr>
          <w:p>
            <w:pPr>
              <w:pStyle w:val="TableContents"/>
              <w:bidi w:val="0"/>
              <w:spacing w:before="0" w:after="283"/>
              <w:jc w:val="left"/>
              <w:rPr/>
            </w:pPr>
            <w:r>
              <w:rPr/>
              <w:t>Retire or update the software development procedures document's "Development Environment" section (PHP/Laravel/MySQL), which conflicts with ADR-01.</w:t>
            </w:r>
          </w:p>
        </w:tc>
        <w:tc>
          <w:tcPr>
            <w:tcW w:w="4883" w:type="dxa"/>
            <w:tcBorders/>
            <w:vAlign w:val="center"/>
          </w:tcPr>
          <w:p>
            <w:pPr>
              <w:pStyle w:val="TableContents"/>
              <w:bidi w:val="0"/>
              <w:spacing w:before="0" w:after="283"/>
              <w:jc w:val="left"/>
              <w:rPr/>
            </w:pPr>
            <w:r>
              <w:rPr/>
              <w:t>Unchanged from v1.0 — still a residual inconsistency to resolve</w:t>
            </w:r>
          </w:p>
        </w:tc>
      </w:tr>
      <w:tr>
        <w:trPr/>
        <w:tc>
          <w:tcPr>
            <w:tcW w:w="970" w:type="dxa"/>
            <w:tcBorders/>
            <w:vAlign w:val="center"/>
          </w:tcPr>
          <w:p>
            <w:pPr>
              <w:pStyle w:val="TableContents"/>
              <w:bidi w:val="0"/>
              <w:spacing w:before="0" w:after="283"/>
              <w:jc w:val="left"/>
              <w:rPr/>
            </w:pPr>
            <w:r>
              <w:rPr/>
              <w:t xml:space="preserve">ADR-08 </w:t>
            </w:r>
            <w:r>
              <w:rPr>
                <w:i/>
              </w:rPr>
              <w:t>(new)</w:t>
            </w:r>
          </w:p>
        </w:tc>
        <w:tc>
          <w:tcPr>
            <w:tcW w:w="5486" w:type="dxa"/>
            <w:tcBorders/>
            <w:vAlign w:val="center"/>
          </w:tcPr>
          <w:p>
            <w:pPr>
              <w:pStyle w:val="TableContents"/>
              <w:bidi w:val="0"/>
              <w:spacing w:before="0" w:after="283"/>
              <w:jc w:val="left"/>
              <w:rPr/>
            </w:pPr>
            <w:r>
              <w:rPr/>
              <w:t>Cross-service data aggregation (dashboards, future consolidated reporting) is served by a dedicated Reporting Service maintaining denormalized read models built from Kafka domain events, not by direct cross-service database queries.</w:t>
            </w:r>
          </w:p>
        </w:tc>
        <w:tc>
          <w:tcPr>
            <w:tcW w:w="4883" w:type="dxa"/>
            <w:tcBorders/>
            <w:vAlign w:val="center"/>
          </w:tcPr>
          <w:p>
            <w:pPr>
              <w:pStyle w:val="TableContents"/>
              <w:bidi w:val="0"/>
              <w:spacing w:before="0" w:after="283"/>
              <w:jc w:val="left"/>
              <w:rPr/>
            </w:pPr>
            <w:r>
              <w:rPr/>
              <w:t>Required because ADR-04 removes the shared-schema query path the monolith design relied on for the Dashboard (formerly ADR-04 v1.0); this is the standard CQRS/event-driven pattern for cross-service reporting</w:t>
            </w:r>
          </w:p>
        </w:tc>
      </w:tr>
    </w:tbl>
    <w:p>
      <w:pPr>
        <w:pStyle w:val="Heading2"/>
        <w:bidi w:val="0"/>
        <w:jc w:val="left"/>
        <w:rPr/>
      </w:pPr>
      <w:r>
        <w:rPr/>
        <w:t>3. Service Decomposition</w:t>
      </w:r>
    </w:p>
    <w:p>
      <w:pPr>
        <w:pStyle w:val="BodyText"/>
        <w:bidi w:val="0"/>
        <w:jc w:val="left"/>
        <w:rPr/>
      </w:pPr>
      <w:r>
        <w:rPr/>
        <w:t>Phase 1 is decomposed into eight microservices plus an API Gateway, each independently deployable and each owning its own data (ADR-04). Boundaries follow the same functional areas as the SRS and the Epics in 06_User Stories, so every FR-xxx requirement has an unambiguous service owner.</w:t>
      </w:r>
    </w:p>
    <w:tbl>
      <w:tblPr>
        <w:tblW w:w="11339" w:type="dxa"/>
        <w:jc w:val="left"/>
        <w:tblInd w:w="28" w:type="dxa"/>
        <w:tblLayout w:type="fixed"/>
        <w:tblCellMar>
          <w:top w:w="28" w:type="dxa"/>
          <w:left w:w="28" w:type="dxa"/>
          <w:bottom w:w="28" w:type="dxa"/>
          <w:right w:w="28" w:type="dxa"/>
        </w:tblCellMar>
      </w:tblPr>
      <w:tblGrid>
        <w:gridCol w:w="1742"/>
        <w:gridCol w:w="5292"/>
        <w:gridCol w:w="2758"/>
        <w:gridCol w:w="1547"/>
      </w:tblGrid>
      <w:tr>
        <w:trPr/>
        <w:tc>
          <w:tcPr>
            <w:tcW w:w="1742" w:type="dxa"/>
            <w:tcBorders/>
            <w:vAlign w:val="center"/>
          </w:tcPr>
          <w:p>
            <w:pPr>
              <w:pStyle w:val="TableHeading"/>
              <w:suppressLineNumbers/>
              <w:shd w:fill="1F3864" w:val="clear"/>
              <w:bidi w:val="0"/>
              <w:spacing w:before="0" w:after="283"/>
              <w:jc w:val="left"/>
              <w:rPr/>
            </w:pPr>
            <w:r>
              <w:rPr/>
              <w:t>Service</w:t>
            </w:r>
          </w:p>
        </w:tc>
        <w:tc>
          <w:tcPr>
            <w:tcW w:w="5292" w:type="dxa"/>
            <w:tcBorders/>
            <w:vAlign w:val="center"/>
          </w:tcPr>
          <w:p>
            <w:pPr>
              <w:pStyle w:val="TableHeading"/>
              <w:suppressLineNumbers/>
              <w:shd w:fill="1F3864" w:val="clear"/>
              <w:bidi w:val="0"/>
              <w:spacing w:before="0" w:after="283"/>
              <w:jc w:val="left"/>
              <w:rPr/>
            </w:pPr>
            <w:r>
              <w:rPr/>
              <w:t>Responsibility</w:t>
            </w:r>
          </w:p>
        </w:tc>
        <w:tc>
          <w:tcPr>
            <w:tcW w:w="2758" w:type="dxa"/>
            <w:tcBorders/>
            <w:vAlign w:val="center"/>
          </w:tcPr>
          <w:p>
            <w:pPr>
              <w:pStyle w:val="TableHeading"/>
              <w:suppressLineNumbers/>
              <w:shd w:fill="1F3864" w:val="clear"/>
              <w:bidi w:val="0"/>
              <w:spacing w:before="0" w:after="283"/>
              <w:jc w:val="left"/>
              <w:rPr/>
            </w:pPr>
            <w:r>
              <w:rPr/>
              <w:t>Owns (Data)</w:t>
            </w:r>
          </w:p>
        </w:tc>
        <w:tc>
          <w:tcPr>
            <w:tcW w:w="1547" w:type="dxa"/>
            <w:tcBorders/>
            <w:vAlign w:val="center"/>
          </w:tcPr>
          <w:p>
            <w:pPr>
              <w:pStyle w:val="TableHeading"/>
              <w:suppressLineNumbers/>
              <w:shd w:fill="1F3864" w:val="clear"/>
              <w:bidi w:val="0"/>
              <w:spacing w:before="0" w:after="283"/>
              <w:jc w:val="left"/>
              <w:rPr/>
            </w:pPr>
            <w:r>
              <w:rPr/>
              <w:t>SRS Epic(s)</w:t>
            </w:r>
          </w:p>
        </w:tc>
      </w:tr>
      <w:tr>
        <w:trPr/>
        <w:tc>
          <w:tcPr>
            <w:tcW w:w="1742" w:type="dxa"/>
            <w:tcBorders/>
            <w:vAlign w:val="center"/>
          </w:tcPr>
          <w:p>
            <w:pPr>
              <w:pStyle w:val="TableContents"/>
              <w:bidi w:val="0"/>
              <w:spacing w:before="0" w:after="283"/>
              <w:jc w:val="left"/>
              <w:rPr/>
            </w:pPr>
            <w:r>
              <w:rPr/>
              <w:t>API Gateway</w:t>
            </w:r>
          </w:p>
        </w:tc>
        <w:tc>
          <w:tcPr>
            <w:tcW w:w="5292" w:type="dxa"/>
            <w:tcBorders/>
            <w:vAlign w:val="center"/>
          </w:tcPr>
          <w:p>
            <w:pPr>
              <w:pStyle w:val="TableContents"/>
              <w:bidi w:val="0"/>
              <w:spacing w:before="0" w:after="283"/>
              <w:jc w:val="left"/>
              <w:rPr/>
            </w:pPr>
            <w:r>
              <w:rPr/>
              <w:t>Single entry point; TLS termination; request routing; JWT validation; rate limiting</w:t>
            </w:r>
          </w:p>
        </w:tc>
        <w:tc>
          <w:tcPr>
            <w:tcW w:w="2758" w:type="dxa"/>
            <w:tcBorders/>
            <w:vAlign w:val="center"/>
          </w:tcPr>
          <w:p>
            <w:pPr>
              <w:pStyle w:val="TableContents"/>
              <w:bidi w:val="0"/>
              <w:spacing w:before="0" w:after="283"/>
              <w:jc w:val="left"/>
              <w:rPr/>
            </w:pPr>
            <w:r>
              <w:rPr/>
              <w:t>—</w:t>
            </w:r>
          </w:p>
        </w:tc>
        <w:tc>
          <w:tcPr>
            <w:tcW w:w="1547" w:type="dxa"/>
            <w:tcBorders/>
            <w:vAlign w:val="center"/>
          </w:tcPr>
          <w:p>
            <w:pPr>
              <w:pStyle w:val="TableContents"/>
              <w:bidi w:val="0"/>
              <w:spacing w:before="0" w:after="283"/>
              <w:jc w:val="left"/>
              <w:rPr/>
            </w:pPr>
            <w:r>
              <w:rPr/>
              <w:t>Cross-cutting</w:t>
            </w:r>
          </w:p>
        </w:tc>
      </w:tr>
      <w:tr>
        <w:trPr/>
        <w:tc>
          <w:tcPr>
            <w:tcW w:w="1742" w:type="dxa"/>
            <w:tcBorders/>
            <w:vAlign w:val="center"/>
          </w:tcPr>
          <w:p>
            <w:pPr>
              <w:pStyle w:val="TableContents"/>
              <w:bidi w:val="0"/>
              <w:spacing w:before="0" w:after="283"/>
              <w:jc w:val="left"/>
              <w:rPr/>
            </w:pPr>
            <w:r>
              <w:rPr/>
              <w:t>Identity Service</w:t>
            </w:r>
          </w:p>
        </w:tc>
        <w:tc>
          <w:tcPr>
            <w:tcW w:w="5292" w:type="dxa"/>
            <w:tcBorders/>
            <w:vAlign w:val="center"/>
          </w:tcPr>
          <w:p>
            <w:pPr>
              <w:pStyle w:val="TableContents"/>
              <w:bidi w:val="0"/>
              <w:spacing w:before="0" w:after="283"/>
              <w:jc w:val="left"/>
              <w:rPr/>
            </w:pPr>
            <w:r>
              <w:rPr/>
              <w:t>Authentication, users, roles, permissions, scope assignment</w:t>
            </w:r>
          </w:p>
        </w:tc>
        <w:tc>
          <w:tcPr>
            <w:tcW w:w="2758" w:type="dxa"/>
            <w:tcBorders/>
            <w:vAlign w:val="center"/>
          </w:tcPr>
          <w:p>
            <w:pPr>
              <w:pStyle w:val="TableContents"/>
              <w:bidi w:val="0"/>
              <w:spacing w:before="0" w:after="283"/>
              <w:jc w:val="left"/>
              <w:rPr/>
            </w:pPr>
            <w:r>
              <w:rPr/>
              <w:t>users, roles, permissions, role_permissions, user_roles, user_scopes</w:t>
            </w:r>
          </w:p>
        </w:tc>
        <w:tc>
          <w:tcPr>
            <w:tcW w:w="1547" w:type="dxa"/>
            <w:tcBorders/>
            <w:vAlign w:val="center"/>
          </w:tcPr>
          <w:p>
            <w:pPr>
              <w:pStyle w:val="TableContents"/>
              <w:bidi w:val="0"/>
              <w:spacing w:before="0" w:after="283"/>
              <w:jc w:val="left"/>
              <w:rPr/>
            </w:pPr>
            <w:r>
              <w:rPr/>
              <w:t>EPIC-01, EPIC-03</w:t>
            </w:r>
          </w:p>
        </w:tc>
      </w:tr>
      <w:tr>
        <w:trPr/>
        <w:tc>
          <w:tcPr>
            <w:tcW w:w="1742" w:type="dxa"/>
            <w:tcBorders/>
            <w:vAlign w:val="center"/>
          </w:tcPr>
          <w:p>
            <w:pPr>
              <w:pStyle w:val="TableContents"/>
              <w:bidi w:val="0"/>
              <w:spacing w:before="0" w:after="283"/>
              <w:jc w:val="left"/>
              <w:rPr/>
            </w:pPr>
            <w:r>
              <w:rPr/>
              <w:t>Organization Service</w:t>
            </w:r>
          </w:p>
        </w:tc>
        <w:tc>
          <w:tcPr>
            <w:tcW w:w="5292" w:type="dxa"/>
            <w:tcBorders/>
            <w:vAlign w:val="center"/>
          </w:tcPr>
          <w:p>
            <w:pPr>
              <w:pStyle w:val="TableContents"/>
              <w:bidi w:val="0"/>
              <w:spacing w:before="0" w:after="283"/>
              <w:jc w:val="left"/>
              <w:rPr/>
            </w:pPr>
            <w:r>
              <w:rPr/>
              <w:t>Companies, subsidiaries, branches, departments</w:t>
            </w:r>
          </w:p>
        </w:tc>
        <w:tc>
          <w:tcPr>
            <w:tcW w:w="2758" w:type="dxa"/>
            <w:tcBorders/>
            <w:vAlign w:val="center"/>
          </w:tcPr>
          <w:p>
            <w:pPr>
              <w:pStyle w:val="TableContents"/>
              <w:bidi w:val="0"/>
              <w:spacing w:before="0" w:after="283"/>
              <w:jc w:val="left"/>
              <w:rPr/>
            </w:pPr>
            <w:r>
              <w:rPr/>
              <w:t>companies, branches, departments</w:t>
            </w:r>
          </w:p>
        </w:tc>
        <w:tc>
          <w:tcPr>
            <w:tcW w:w="1547" w:type="dxa"/>
            <w:tcBorders/>
            <w:vAlign w:val="center"/>
          </w:tcPr>
          <w:p>
            <w:pPr>
              <w:pStyle w:val="TableContents"/>
              <w:bidi w:val="0"/>
              <w:spacing w:before="0" w:after="283"/>
              <w:jc w:val="left"/>
              <w:rPr/>
            </w:pPr>
            <w:r>
              <w:rPr/>
              <w:t>EPIC-02</w:t>
            </w:r>
          </w:p>
        </w:tc>
      </w:tr>
      <w:tr>
        <w:trPr/>
        <w:tc>
          <w:tcPr>
            <w:tcW w:w="1742" w:type="dxa"/>
            <w:tcBorders/>
            <w:vAlign w:val="center"/>
          </w:tcPr>
          <w:p>
            <w:pPr>
              <w:pStyle w:val="TableContents"/>
              <w:bidi w:val="0"/>
              <w:spacing w:before="0" w:after="283"/>
              <w:jc w:val="left"/>
              <w:rPr/>
            </w:pPr>
            <w:r>
              <w:rPr/>
              <w:t>Employee Service</w:t>
            </w:r>
          </w:p>
        </w:tc>
        <w:tc>
          <w:tcPr>
            <w:tcW w:w="5292" w:type="dxa"/>
            <w:tcBorders/>
            <w:vAlign w:val="center"/>
          </w:tcPr>
          <w:p>
            <w:pPr>
              <w:pStyle w:val="TableContents"/>
              <w:bidi w:val="0"/>
              <w:spacing w:before="0" w:after="283"/>
              <w:jc w:val="left"/>
              <w:rPr/>
            </w:pPr>
            <w:r>
              <w:rPr/>
              <w:t>Employee records</w:t>
            </w:r>
          </w:p>
        </w:tc>
        <w:tc>
          <w:tcPr>
            <w:tcW w:w="2758" w:type="dxa"/>
            <w:tcBorders/>
            <w:vAlign w:val="center"/>
          </w:tcPr>
          <w:p>
            <w:pPr>
              <w:pStyle w:val="TableContents"/>
              <w:bidi w:val="0"/>
              <w:spacing w:before="0" w:after="283"/>
              <w:jc w:val="left"/>
              <w:rPr/>
            </w:pPr>
            <w:r>
              <w:rPr/>
              <w:t>employees</w:t>
            </w:r>
          </w:p>
        </w:tc>
        <w:tc>
          <w:tcPr>
            <w:tcW w:w="1547" w:type="dxa"/>
            <w:tcBorders/>
            <w:vAlign w:val="center"/>
          </w:tcPr>
          <w:p>
            <w:pPr>
              <w:pStyle w:val="TableContents"/>
              <w:bidi w:val="0"/>
              <w:spacing w:before="0" w:after="283"/>
              <w:jc w:val="left"/>
              <w:rPr/>
            </w:pPr>
            <w:r>
              <w:rPr/>
              <w:t>EPIC-05</w:t>
            </w:r>
          </w:p>
        </w:tc>
      </w:tr>
      <w:tr>
        <w:trPr/>
        <w:tc>
          <w:tcPr>
            <w:tcW w:w="1742" w:type="dxa"/>
            <w:tcBorders/>
            <w:vAlign w:val="center"/>
          </w:tcPr>
          <w:p>
            <w:pPr>
              <w:pStyle w:val="TableContents"/>
              <w:bidi w:val="0"/>
              <w:spacing w:before="0" w:after="283"/>
              <w:jc w:val="left"/>
              <w:rPr/>
            </w:pPr>
            <w:r>
              <w:rPr/>
              <w:t>Customer Service</w:t>
            </w:r>
          </w:p>
        </w:tc>
        <w:tc>
          <w:tcPr>
            <w:tcW w:w="5292" w:type="dxa"/>
            <w:tcBorders/>
            <w:vAlign w:val="center"/>
          </w:tcPr>
          <w:p>
            <w:pPr>
              <w:pStyle w:val="TableContents"/>
              <w:bidi w:val="0"/>
              <w:spacing w:before="0" w:after="283"/>
              <w:jc w:val="left"/>
              <w:rPr/>
            </w:pPr>
            <w:r>
              <w:rPr/>
              <w:t>Customer records</w:t>
            </w:r>
          </w:p>
        </w:tc>
        <w:tc>
          <w:tcPr>
            <w:tcW w:w="2758" w:type="dxa"/>
            <w:tcBorders/>
            <w:vAlign w:val="center"/>
          </w:tcPr>
          <w:p>
            <w:pPr>
              <w:pStyle w:val="TableContents"/>
              <w:bidi w:val="0"/>
              <w:spacing w:before="0" w:after="283"/>
              <w:jc w:val="left"/>
              <w:rPr/>
            </w:pPr>
            <w:r>
              <w:rPr/>
              <w:t>customers</w:t>
            </w:r>
          </w:p>
        </w:tc>
        <w:tc>
          <w:tcPr>
            <w:tcW w:w="1547" w:type="dxa"/>
            <w:tcBorders/>
            <w:vAlign w:val="center"/>
          </w:tcPr>
          <w:p>
            <w:pPr>
              <w:pStyle w:val="TableContents"/>
              <w:bidi w:val="0"/>
              <w:spacing w:before="0" w:after="283"/>
              <w:jc w:val="left"/>
              <w:rPr/>
            </w:pPr>
            <w:r>
              <w:rPr/>
              <w:t>EPIC-06</w:t>
            </w:r>
          </w:p>
        </w:tc>
      </w:tr>
      <w:tr>
        <w:trPr/>
        <w:tc>
          <w:tcPr>
            <w:tcW w:w="1742" w:type="dxa"/>
            <w:tcBorders/>
            <w:vAlign w:val="center"/>
          </w:tcPr>
          <w:p>
            <w:pPr>
              <w:pStyle w:val="TableContents"/>
              <w:bidi w:val="0"/>
              <w:spacing w:before="0" w:after="283"/>
              <w:jc w:val="left"/>
              <w:rPr/>
            </w:pPr>
            <w:r>
              <w:rPr/>
              <w:t>Supplier Service</w:t>
            </w:r>
          </w:p>
        </w:tc>
        <w:tc>
          <w:tcPr>
            <w:tcW w:w="5292" w:type="dxa"/>
            <w:tcBorders/>
            <w:vAlign w:val="center"/>
          </w:tcPr>
          <w:p>
            <w:pPr>
              <w:pStyle w:val="TableContents"/>
              <w:bidi w:val="0"/>
              <w:spacing w:before="0" w:after="283"/>
              <w:jc w:val="left"/>
              <w:rPr/>
            </w:pPr>
            <w:r>
              <w:rPr/>
              <w:t>Supplier records</w:t>
            </w:r>
          </w:p>
        </w:tc>
        <w:tc>
          <w:tcPr>
            <w:tcW w:w="2758" w:type="dxa"/>
            <w:tcBorders/>
            <w:vAlign w:val="center"/>
          </w:tcPr>
          <w:p>
            <w:pPr>
              <w:pStyle w:val="TableContents"/>
              <w:bidi w:val="0"/>
              <w:spacing w:before="0" w:after="283"/>
              <w:jc w:val="left"/>
              <w:rPr/>
            </w:pPr>
            <w:r>
              <w:rPr/>
              <w:t>suppliers</w:t>
            </w:r>
          </w:p>
        </w:tc>
        <w:tc>
          <w:tcPr>
            <w:tcW w:w="1547" w:type="dxa"/>
            <w:tcBorders/>
            <w:vAlign w:val="center"/>
          </w:tcPr>
          <w:p>
            <w:pPr>
              <w:pStyle w:val="TableContents"/>
              <w:bidi w:val="0"/>
              <w:spacing w:before="0" w:after="283"/>
              <w:jc w:val="left"/>
              <w:rPr/>
            </w:pPr>
            <w:r>
              <w:rPr/>
              <w:t>EPIC-07</w:t>
            </w:r>
          </w:p>
        </w:tc>
      </w:tr>
      <w:tr>
        <w:trPr/>
        <w:tc>
          <w:tcPr>
            <w:tcW w:w="1742" w:type="dxa"/>
            <w:tcBorders/>
            <w:vAlign w:val="center"/>
          </w:tcPr>
          <w:p>
            <w:pPr>
              <w:pStyle w:val="TableContents"/>
              <w:bidi w:val="0"/>
              <w:spacing w:before="0" w:after="283"/>
              <w:jc w:val="left"/>
              <w:rPr/>
            </w:pPr>
            <w:r>
              <w:rPr/>
              <w:t>Product Service</w:t>
            </w:r>
          </w:p>
        </w:tc>
        <w:tc>
          <w:tcPr>
            <w:tcW w:w="5292" w:type="dxa"/>
            <w:tcBorders/>
            <w:vAlign w:val="center"/>
          </w:tcPr>
          <w:p>
            <w:pPr>
              <w:pStyle w:val="TableContents"/>
              <w:bidi w:val="0"/>
              <w:spacing w:before="0" w:after="283"/>
              <w:jc w:val="left"/>
              <w:rPr/>
            </w:pPr>
            <w:r>
              <w:rPr/>
              <w:t>Product/service records</w:t>
            </w:r>
          </w:p>
        </w:tc>
        <w:tc>
          <w:tcPr>
            <w:tcW w:w="2758" w:type="dxa"/>
            <w:tcBorders/>
            <w:vAlign w:val="center"/>
          </w:tcPr>
          <w:p>
            <w:pPr>
              <w:pStyle w:val="TableContents"/>
              <w:bidi w:val="0"/>
              <w:spacing w:before="0" w:after="283"/>
              <w:jc w:val="left"/>
              <w:rPr/>
            </w:pPr>
            <w:r>
              <w:rPr/>
              <w:t>products, product_categories</w:t>
            </w:r>
          </w:p>
        </w:tc>
        <w:tc>
          <w:tcPr>
            <w:tcW w:w="1547" w:type="dxa"/>
            <w:tcBorders/>
            <w:vAlign w:val="center"/>
          </w:tcPr>
          <w:p>
            <w:pPr>
              <w:pStyle w:val="TableContents"/>
              <w:bidi w:val="0"/>
              <w:spacing w:before="0" w:after="283"/>
              <w:jc w:val="left"/>
              <w:rPr/>
            </w:pPr>
            <w:r>
              <w:rPr/>
              <w:t>EPIC-08</w:t>
            </w:r>
          </w:p>
        </w:tc>
      </w:tr>
      <w:tr>
        <w:trPr/>
        <w:tc>
          <w:tcPr>
            <w:tcW w:w="1742" w:type="dxa"/>
            <w:tcBorders/>
            <w:vAlign w:val="center"/>
          </w:tcPr>
          <w:p>
            <w:pPr>
              <w:pStyle w:val="TableContents"/>
              <w:bidi w:val="0"/>
              <w:spacing w:before="0" w:after="283"/>
              <w:jc w:val="left"/>
              <w:rPr/>
            </w:pPr>
            <w:r>
              <w:rPr/>
              <w:t>Accounting Service</w:t>
            </w:r>
          </w:p>
        </w:tc>
        <w:tc>
          <w:tcPr>
            <w:tcW w:w="5292" w:type="dxa"/>
            <w:tcBorders/>
            <w:vAlign w:val="center"/>
          </w:tcPr>
          <w:p>
            <w:pPr>
              <w:pStyle w:val="TableContents"/>
              <w:bidi w:val="0"/>
              <w:spacing w:before="0" w:after="283"/>
              <w:jc w:val="left"/>
              <w:rPr/>
            </w:pPr>
            <w:r>
              <w:rPr/>
              <w:t>Chart of accounts, journal entries, trial balance, financial periods</w:t>
            </w:r>
          </w:p>
        </w:tc>
        <w:tc>
          <w:tcPr>
            <w:tcW w:w="2758" w:type="dxa"/>
            <w:tcBorders/>
            <w:vAlign w:val="center"/>
          </w:tcPr>
          <w:p>
            <w:pPr>
              <w:pStyle w:val="TableContents"/>
              <w:bidi w:val="0"/>
              <w:spacing w:before="0" w:after="283"/>
              <w:jc w:val="left"/>
              <w:rPr/>
            </w:pPr>
            <w:r>
              <w:rPr/>
              <w:t>accounts, journal_entries, journal_entry_items, financial_periods</w:t>
            </w:r>
          </w:p>
        </w:tc>
        <w:tc>
          <w:tcPr>
            <w:tcW w:w="1547" w:type="dxa"/>
            <w:tcBorders/>
            <w:vAlign w:val="center"/>
          </w:tcPr>
          <w:p>
            <w:pPr>
              <w:pStyle w:val="TableContents"/>
              <w:bidi w:val="0"/>
              <w:spacing w:before="0" w:after="283"/>
              <w:jc w:val="left"/>
              <w:rPr/>
            </w:pPr>
            <w:r>
              <w:rPr/>
              <w:t>EPIC-09</w:t>
            </w:r>
          </w:p>
        </w:tc>
      </w:tr>
      <w:tr>
        <w:trPr/>
        <w:tc>
          <w:tcPr>
            <w:tcW w:w="1742" w:type="dxa"/>
            <w:tcBorders/>
            <w:vAlign w:val="center"/>
          </w:tcPr>
          <w:p>
            <w:pPr>
              <w:pStyle w:val="TableContents"/>
              <w:bidi w:val="0"/>
              <w:spacing w:before="0" w:after="283"/>
              <w:jc w:val="left"/>
              <w:rPr/>
            </w:pPr>
            <w:r>
              <w:rPr/>
              <w:t>Audit &amp; Reporting Service</w:t>
            </w:r>
          </w:p>
        </w:tc>
        <w:tc>
          <w:tcPr>
            <w:tcW w:w="5292" w:type="dxa"/>
            <w:tcBorders/>
            <w:vAlign w:val="center"/>
          </w:tcPr>
          <w:p>
            <w:pPr>
              <w:pStyle w:val="TableContents"/>
              <w:bidi w:val="0"/>
              <w:spacing w:before="0" w:after="283"/>
              <w:jc w:val="left"/>
              <w:rPr/>
            </w:pPr>
            <w:r>
              <w:rPr/>
              <w:t>Consumes domain events from every other service to build the immutable audit trail (EPIC-10) and the Dashboard's denormalized read models (EPIC-04)</w:t>
            </w:r>
          </w:p>
        </w:tc>
        <w:tc>
          <w:tcPr>
            <w:tcW w:w="2758" w:type="dxa"/>
            <w:tcBorders/>
            <w:vAlign w:val="center"/>
          </w:tcPr>
          <w:p>
            <w:pPr>
              <w:pStyle w:val="TableContents"/>
              <w:bidi w:val="0"/>
              <w:spacing w:before="0" w:after="283"/>
              <w:jc w:val="left"/>
              <w:rPr/>
            </w:pPr>
            <w:r>
              <w:rPr/>
              <w:t>audit_logs, dashboard read-model tables</w:t>
            </w:r>
          </w:p>
        </w:tc>
        <w:tc>
          <w:tcPr>
            <w:tcW w:w="1547" w:type="dxa"/>
            <w:tcBorders/>
            <w:vAlign w:val="center"/>
          </w:tcPr>
          <w:p>
            <w:pPr>
              <w:pStyle w:val="TableContents"/>
              <w:bidi w:val="0"/>
              <w:spacing w:before="0" w:after="283"/>
              <w:jc w:val="left"/>
              <w:rPr/>
            </w:pPr>
            <w:r>
              <w:rPr/>
              <w:t>EPIC-04, EPIC-10</w:t>
            </w:r>
          </w:p>
        </w:tc>
      </w:tr>
    </w:tbl>
    <w:p>
      <w:pPr>
        <w:pStyle w:val="Heading2"/>
        <w:bidi w:val="0"/>
        <w:jc w:val="left"/>
        <w:rPr/>
      </w:pPr>
      <w:r>
        <w:rPr/>
        <w:t>4. High-Level Architecture</w:t>
      </w:r>
    </w:p>
    <w:p>
      <w:pPr>
        <w:pStyle w:val="BodyText"/>
        <w:bidi w:val="0"/>
        <w:spacing w:before="150" w:after="150"/>
        <w:ind w:hanging="0" w:left="150" w:right="150"/>
        <w:jc w:val="left"/>
        <w:rPr>
          <w:bdr w:val="single" w:sz="2" w:space="9" w:color="C7D3E8"/>
          <w:shd w:fill="F2F5FA" w:val="clear"/>
        </w:rPr>
      </w:pPr>
      <w:r>
        <w:rPr>
          <w:bdr w:val="single" w:sz="2" w:space="9" w:color="C7D3E8"/>
          <w:shd w:fill="F2F5FA" w:val="clear"/>
        </w:rPr>
        <w:t>                           ┌───────────────────────────┐</w:t>
      </w:r>
      <w:r>
        <w:rPr>
          <w:rFonts w:ascii="Courier New;monospace" w:hAnsi="Courier New;monospace"/>
          <w:sz w:val="19"/>
          <w:bdr w:val="single" w:sz="2" w:space="9" w:color="C7D3E8"/>
          <w:shd w:fill="F2F5FA" w:val="clear"/>
        </w:rPr>
        <w:br/>
        <w:t>                           │ Browser (Desktop/Tablet) │</w:t>
        <w:br/>
        <w:t>                           └─────────────┬─────────────┘</w:t>
        <w:br/>
        <w:t>                                   │ HTTPS/TLS</w:t>
        <w:br/>
        <w:t>                           ┌─────────────▼─────────────┐</w:t>
        <w:br/>
        <w:t>                           │       API Gateway        │  JWT validation,</w:t>
        <w:br/>
        <w:t>                           └──┬──────┬──────┬──────┬──┘  rate limit, routing</w:t>
        <w:br/>
        <w:t>                                  │      │      │      │</w:t>
        <w:br/>
        <w:t>   ┌───────▼──┐ ┌───▼─────┐ ┌──▼──────┐ ┌─▼───────┐ ┌──────────┐ ┌──────────┐</w:t>
        <w:br/>
        <w:t>   │ Identity │ │Organiz- │ │Employee │ │Customer │ │ Supplier │ │ Product  │</w:t>
        <w:br/>
        <w:t>   │ Service  │ │ation Svc│ │Service  │ │Service  │ │ Service  │ │ Service  │</w:t>
        <w:br/>
        <w:t>   │ + own DB │ │+ own DB│ │+ own DB│ │+ own DB│ │+ own DB │ │+ own DB │</w:t>
        <w:br/>
        <w:t>   └────┬─────┘ └────┬────┘ └────┬────┘ └────┬────┘ └─────┬────┘ └─────┬────┘</w:t>
        <w:br/>
        <w:t>                          ┌────▼────┐</w:t>
        <w:br/>
        <w:t>                          │ Accounting│  also publishes/consumes</w:t>
        <w:br/>
        <w:t>                          │ Service  │  domain events below</w:t>
        <w:br/>
        <w:t>                          │ + own DB  │</w:t>
        <w:br/>
        <w:t>                          └────┬────┘</w:t>
        <w:br/>
        <w:t>                              │ domain events (created/updated/deleted)</w:t>
        <w:br/>
        <w:t>              ┌──────────────────▼──────────────────┐</w:t>
        <w:br/>
        <w:t>              │                Kafka (event bus)               │</w:t>
        <w:br/>
        <w:t>              └──────────────────┬──────────────────┘</w:t>
        <w:br/>
        <w:t>                              ┌────▼─────────────┐</w:t>
        <w:br/>
        <w:t>                              │ Audit &amp; Reporting │  audit_logs +</w:t>
        <w:br/>
        <w:t>                              │ Service + own DB  │  dashboard read-models</w:t>
        <w:br/>
        <w:t>                              └──────────────────┘</w:t>
        <w:br/>
        <w:br/>
        <w:t>  Cross-cutting (all services): Redis (cache/session) · Prometheus/Grafana (metrics) ·</w:t>
        <w:br/>
        <w:t xml:space="preserve">  Jaeger (tracing) · EFK Stack (logs) · Ansible (config automation) · Docker + GitLab CI </w:t>
      </w:r>
    </w:p>
    <w:p>
      <w:pPr>
        <w:pStyle w:val="Heading2"/>
        <w:bidi w:val="0"/>
        <w:jc w:val="left"/>
        <w:rPr/>
      </w:pPr>
      <w:r>
        <w:rPr/>
        <w:t>5. Inter-Service Communication</w:t>
      </w:r>
    </w:p>
    <w:tbl>
      <w:tblPr>
        <w:tblW w:w="11339" w:type="dxa"/>
        <w:jc w:val="left"/>
        <w:tblInd w:w="28" w:type="dxa"/>
        <w:tblLayout w:type="fixed"/>
        <w:tblCellMar>
          <w:top w:w="28" w:type="dxa"/>
          <w:left w:w="28" w:type="dxa"/>
          <w:bottom w:w="28" w:type="dxa"/>
          <w:right w:w="28" w:type="dxa"/>
        </w:tblCellMar>
      </w:tblPr>
      <w:tblGrid>
        <w:gridCol w:w="2235"/>
        <w:gridCol w:w="6239"/>
        <w:gridCol w:w="2865"/>
      </w:tblGrid>
      <w:tr>
        <w:trPr/>
        <w:tc>
          <w:tcPr>
            <w:tcW w:w="2235" w:type="dxa"/>
            <w:tcBorders/>
            <w:vAlign w:val="center"/>
          </w:tcPr>
          <w:p>
            <w:pPr>
              <w:pStyle w:val="TableHeading"/>
              <w:suppressLineNumbers/>
              <w:shd w:fill="1F3864" w:val="clear"/>
              <w:bidi w:val="0"/>
              <w:spacing w:before="0" w:after="283"/>
              <w:jc w:val="left"/>
              <w:rPr/>
            </w:pPr>
            <w:r>
              <w:rPr/>
              <w:t>Pattern</w:t>
            </w:r>
          </w:p>
        </w:tc>
        <w:tc>
          <w:tcPr>
            <w:tcW w:w="6239" w:type="dxa"/>
            <w:tcBorders/>
            <w:vAlign w:val="center"/>
          </w:tcPr>
          <w:p>
            <w:pPr>
              <w:pStyle w:val="TableHeading"/>
              <w:suppressLineNumbers/>
              <w:shd w:fill="1F3864" w:val="clear"/>
              <w:bidi w:val="0"/>
              <w:spacing w:before="0" w:after="283"/>
              <w:jc w:val="left"/>
              <w:rPr/>
            </w:pPr>
            <w:r>
              <w:rPr/>
              <w:t>Used For</w:t>
            </w:r>
          </w:p>
        </w:tc>
        <w:tc>
          <w:tcPr>
            <w:tcW w:w="2865" w:type="dxa"/>
            <w:tcBorders/>
            <w:vAlign w:val="center"/>
          </w:tcPr>
          <w:p>
            <w:pPr>
              <w:pStyle w:val="TableHeading"/>
              <w:suppressLineNumbers/>
              <w:shd w:fill="1F3864" w:val="clear"/>
              <w:bidi w:val="0"/>
              <w:spacing w:before="0" w:after="283"/>
              <w:jc w:val="left"/>
              <w:rPr/>
            </w:pPr>
            <w:r>
              <w:rPr/>
              <w:t>Mechanism</w:t>
            </w:r>
          </w:p>
        </w:tc>
      </w:tr>
      <w:tr>
        <w:trPr/>
        <w:tc>
          <w:tcPr>
            <w:tcW w:w="2235" w:type="dxa"/>
            <w:tcBorders/>
            <w:vAlign w:val="center"/>
          </w:tcPr>
          <w:p>
            <w:pPr>
              <w:pStyle w:val="TableContents"/>
              <w:bidi w:val="0"/>
              <w:spacing w:before="0" w:after="283"/>
              <w:jc w:val="left"/>
              <w:rPr/>
            </w:pPr>
            <w:r>
              <w:rPr/>
              <w:t>Synchronous (request/response)</w:t>
            </w:r>
          </w:p>
        </w:tc>
        <w:tc>
          <w:tcPr>
            <w:tcW w:w="6239" w:type="dxa"/>
            <w:tcBorders/>
            <w:vAlign w:val="center"/>
          </w:tcPr>
          <w:p>
            <w:pPr>
              <w:pStyle w:val="TableContents"/>
              <w:bidi w:val="0"/>
              <w:spacing w:before="0" w:after="283"/>
              <w:jc w:val="left"/>
              <w:rPr/>
            </w:pPr>
            <w:r>
              <w:rPr/>
              <w:t>API Gateway → any service, for direct CRUD operations the client is waiting on</w:t>
            </w:r>
          </w:p>
        </w:tc>
        <w:tc>
          <w:tcPr>
            <w:tcW w:w="2865" w:type="dxa"/>
            <w:tcBorders/>
            <w:vAlign w:val="center"/>
          </w:tcPr>
          <w:p>
            <w:pPr>
              <w:pStyle w:val="TableContents"/>
              <w:bidi w:val="0"/>
              <w:spacing w:before="0" w:after="283"/>
              <w:jc w:val="left"/>
              <w:rPr/>
            </w:pPr>
            <w:r>
              <w:rPr/>
              <w:t>REST/OpenAPI over HTTPS</w:t>
            </w:r>
          </w:p>
        </w:tc>
      </w:tr>
      <w:tr>
        <w:trPr/>
        <w:tc>
          <w:tcPr>
            <w:tcW w:w="2235" w:type="dxa"/>
            <w:tcBorders/>
            <w:vAlign w:val="center"/>
          </w:tcPr>
          <w:p>
            <w:pPr>
              <w:pStyle w:val="TableContents"/>
              <w:bidi w:val="0"/>
              <w:spacing w:before="0" w:after="283"/>
              <w:jc w:val="left"/>
              <w:rPr/>
            </w:pPr>
            <w:r>
              <w:rPr/>
              <w:t>Asynchronous (event-driven)</w:t>
            </w:r>
          </w:p>
        </w:tc>
        <w:tc>
          <w:tcPr>
            <w:tcW w:w="6239" w:type="dxa"/>
            <w:tcBorders/>
            <w:vAlign w:val="center"/>
          </w:tcPr>
          <w:p>
            <w:pPr>
              <w:pStyle w:val="TableContents"/>
              <w:bidi w:val="0"/>
              <w:spacing w:before="0" w:after="283"/>
              <w:jc w:val="left"/>
              <w:rPr/>
            </w:pPr>
            <w:r>
              <w:rPr/>
              <w:t>Propagating state changes to the Audit &amp; Reporting Service, and to any other service that needs to react to another service's data changing</w:t>
            </w:r>
          </w:p>
        </w:tc>
        <w:tc>
          <w:tcPr>
            <w:tcW w:w="2865" w:type="dxa"/>
            <w:tcBorders/>
            <w:vAlign w:val="center"/>
          </w:tcPr>
          <w:p>
            <w:pPr>
              <w:pStyle w:val="TableContents"/>
              <w:bidi w:val="0"/>
              <w:spacing w:before="0" w:after="283"/>
              <w:jc w:val="left"/>
              <w:rPr/>
            </w:pPr>
            <w:r>
              <w:rPr/>
              <w:t>Kafka topics, one per domain event type (Section 9)</w:t>
            </w:r>
          </w:p>
        </w:tc>
      </w:tr>
    </w:tbl>
    <w:p>
      <w:pPr>
        <w:pStyle w:val="BodyText"/>
        <w:bidi w:val="0"/>
        <w:jc w:val="left"/>
        <w:rPr/>
      </w:pPr>
      <w:r>
        <w:rPr/>
        <w:t xml:space="preserve">Phase 1 has no cross-service </w:t>
      </w:r>
      <w:r>
        <w:rPr>
          <w:i/>
        </w:rPr>
        <w:t>transactional</w:t>
      </w:r>
      <w:r>
        <w:rPr/>
        <w:t xml:space="preserve"> workflow yet (each Phase 1 story is a single-service CRUD operation, per 06_User Stories) — Phase 2's Procurement workflow (05_Business Process Document, Section 6.2) will be the first process to span multiple services (Organization, Supplier, Product, Accounting), and should be designed with a saga/compensating-transaction pattern when that phase is scoped, since Kafka-based eventual consistency means a distributed procurement transaction cannot use a single database transaction the way the monolith design would have.</w:t>
      </w:r>
    </w:p>
    <w:p>
      <w:pPr>
        <w:pStyle w:val="Heading2"/>
        <w:bidi w:val="0"/>
        <w:jc w:val="left"/>
        <w:rPr/>
      </w:pPr>
      <w:r>
        <w:rPr/>
        <w:t>6. Multi-Company Data Scoping Design (BR-01)</w:t>
      </w:r>
    </w:p>
    <w:p>
      <w:pPr>
        <w:pStyle w:val="BodyText"/>
        <w:numPr>
          <w:ilvl w:val="0"/>
          <w:numId w:val="1"/>
        </w:numPr>
        <w:tabs>
          <w:tab w:val="clear" w:pos="1134"/>
          <w:tab w:val="left" w:pos="709" w:leader="none"/>
        </w:tabs>
        <w:bidi w:val="0"/>
        <w:spacing w:before="0" w:after="0"/>
        <w:ind w:hanging="283" w:left="709"/>
        <w:jc w:val="left"/>
        <w:rPr/>
      </w:pPr>
      <w:r>
        <w:rPr/>
        <w:t xml:space="preserve">Every service's own tables carry a </w:t>
      </w:r>
      <w:r>
        <w:rPr>
          <w:rStyle w:val="SourceText"/>
        </w:rPr>
        <w:t>company_id</w:t>
      </w:r>
      <w:r>
        <w:rPr/>
        <w:t xml:space="preserve"> (and, where relevant, </w:t>
      </w:r>
      <w:r>
        <w:rPr>
          <w:rStyle w:val="SourceText"/>
        </w:rPr>
        <w:t>branch_id</w:t>
      </w:r>
      <w:r>
        <w:rPr/>
        <w:t xml:space="preserve">) column, exactly as in the monolith design — this does not change. </w:t>
      </w:r>
    </w:p>
    <w:p>
      <w:pPr>
        <w:pStyle w:val="BodyText"/>
        <w:numPr>
          <w:ilvl w:val="0"/>
          <w:numId w:val="1"/>
        </w:numPr>
        <w:tabs>
          <w:tab w:val="clear" w:pos="1134"/>
          <w:tab w:val="left" w:pos="709" w:leader="none"/>
        </w:tabs>
        <w:bidi w:val="0"/>
        <w:spacing w:before="0" w:after="0"/>
        <w:ind w:hanging="283" w:left="709"/>
        <w:jc w:val="left"/>
        <w:rPr/>
      </w:pPr>
      <w:r>
        <w:rPr/>
        <w:t xml:space="preserve">What changes: scoping is now enforced </w:t>
      </w:r>
      <w:r>
        <w:rPr>
          <w:b/>
        </w:rPr>
        <w:t>independently by each service</w:t>
      </w:r>
      <w:r>
        <w:rPr/>
        <w:t xml:space="preserve"> against its own database, using the JWT claims the API Gateway validates and forwards, rather than by one shared guard over one shared schema. </w:t>
      </w:r>
    </w:p>
    <w:p>
      <w:pPr>
        <w:pStyle w:val="BodyText"/>
        <w:numPr>
          <w:ilvl w:val="0"/>
          <w:numId w:val="1"/>
        </w:numPr>
        <w:tabs>
          <w:tab w:val="clear" w:pos="1134"/>
          <w:tab w:val="left" w:pos="709" w:leader="none"/>
        </w:tabs>
        <w:bidi w:val="0"/>
        <w:spacing w:before="0" w:after="0"/>
        <w:ind w:hanging="283" w:left="709"/>
        <w:jc w:val="left"/>
        <w:rPr/>
      </w:pPr>
      <w:r>
        <w:rPr/>
        <w:t xml:space="preserve">The API Gateway performs the first check (does this user's token grant any access to the requested service/route at all); each service performs the second, finer-grained check (does this user's scope cover the specific company_id/branch_id of the record being accessed). </w:t>
      </w:r>
    </w:p>
    <w:p>
      <w:pPr>
        <w:pStyle w:val="BodyText"/>
        <w:numPr>
          <w:ilvl w:val="0"/>
          <w:numId w:val="1"/>
        </w:numPr>
        <w:tabs>
          <w:tab w:val="clear" w:pos="1134"/>
          <w:tab w:val="left" w:pos="709" w:leader="none"/>
        </w:tabs>
        <w:bidi w:val="0"/>
        <w:ind w:hanging="283" w:left="709"/>
        <w:jc w:val="left"/>
        <w:rPr/>
      </w:pPr>
      <w:r>
        <w:rPr/>
        <w:t xml:space="preserve">Group-level roles (Group CEO, Managing Director, Board Member, Super Administrator) carry a claim that every service recognizes as bypassing the per-company restriction — this claim, and every access decision made from it, is still captured by the Audit &amp; Reporting Service via events, so Group-level access remains fully auditable even though it is no longer enforced by one central guard. </w:t>
      </w:r>
    </w:p>
    <w:p>
      <w:pPr>
        <w:pStyle w:val="Heading2"/>
        <w:bidi w:val="0"/>
        <w:jc w:val="left"/>
        <w:rPr/>
      </w:pPr>
      <w:r>
        <w:rPr/>
        <w:t>7. Authentication and Authorization Design</w:t>
      </w:r>
    </w:p>
    <w:tbl>
      <w:tblPr>
        <w:tblW w:w="11339" w:type="dxa"/>
        <w:jc w:val="left"/>
        <w:tblInd w:w="28" w:type="dxa"/>
        <w:tblLayout w:type="fixed"/>
        <w:tblCellMar>
          <w:top w:w="28" w:type="dxa"/>
          <w:left w:w="28" w:type="dxa"/>
          <w:bottom w:w="28" w:type="dxa"/>
          <w:right w:w="28" w:type="dxa"/>
        </w:tblCellMar>
      </w:tblPr>
      <w:tblGrid>
        <w:gridCol w:w="2057"/>
        <w:gridCol w:w="6935"/>
        <w:gridCol w:w="2347"/>
      </w:tblGrid>
      <w:tr>
        <w:trPr/>
        <w:tc>
          <w:tcPr>
            <w:tcW w:w="2057" w:type="dxa"/>
            <w:tcBorders/>
            <w:vAlign w:val="center"/>
          </w:tcPr>
          <w:p>
            <w:pPr>
              <w:pStyle w:val="TableHeading"/>
              <w:suppressLineNumbers/>
              <w:shd w:fill="1F3864" w:val="clear"/>
              <w:bidi w:val="0"/>
              <w:spacing w:before="0" w:after="283"/>
              <w:jc w:val="left"/>
              <w:rPr/>
            </w:pPr>
            <w:r>
              <w:rPr/>
              <w:t>Concern</w:t>
            </w:r>
          </w:p>
        </w:tc>
        <w:tc>
          <w:tcPr>
            <w:tcW w:w="6935" w:type="dxa"/>
            <w:tcBorders/>
            <w:vAlign w:val="center"/>
          </w:tcPr>
          <w:p>
            <w:pPr>
              <w:pStyle w:val="TableHeading"/>
              <w:suppressLineNumbers/>
              <w:shd w:fill="1F3864" w:val="clear"/>
              <w:bidi w:val="0"/>
              <w:spacing w:before="0" w:after="283"/>
              <w:jc w:val="left"/>
              <w:rPr/>
            </w:pPr>
            <w:r>
              <w:rPr/>
              <w:t>Design</w:t>
            </w:r>
          </w:p>
        </w:tc>
        <w:tc>
          <w:tcPr>
            <w:tcW w:w="2347" w:type="dxa"/>
            <w:tcBorders/>
            <w:vAlign w:val="center"/>
          </w:tcPr>
          <w:p>
            <w:pPr>
              <w:pStyle w:val="TableHeading"/>
              <w:suppressLineNumbers/>
              <w:shd w:fill="1F3864" w:val="clear"/>
              <w:bidi w:val="0"/>
              <w:spacing w:before="0" w:after="283"/>
              <w:jc w:val="left"/>
              <w:rPr/>
            </w:pPr>
            <w:r>
              <w:rPr/>
              <w:t>Requirement</w:t>
            </w:r>
          </w:p>
        </w:tc>
      </w:tr>
      <w:tr>
        <w:trPr/>
        <w:tc>
          <w:tcPr>
            <w:tcW w:w="2057" w:type="dxa"/>
            <w:tcBorders/>
            <w:vAlign w:val="center"/>
          </w:tcPr>
          <w:p>
            <w:pPr>
              <w:pStyle w:val="TableContents"/>
              <w:bidi w:val="0"/>
              <w:spacing w:before="0" w:after="283"/>
              <w:jc w:val="left"/>
              <w:rPr/>
            </w:pPr>
            <w:r>
              <w:rPr/>
              <w:t>Login</w:t>
            </w:r>
          </w:p>
        </w:tc>
        <w:tc>
          <w:tcPr>
            <w:tcW w:w="6935" w:type="dxa"/>
            <w:tcBorders/>
            <w:vAlign w:val="center"/>
          </w:tcPr>
          <w:p>
            <w:pPr>
              <w:pStyle w:val="TableContents"/>
              <w:bidi w:val="0"/>
              <w:spacing w:before="0" w:after="283"/>
              <w:jc w:val="left"/>
              <w:rPr/>
            </w:pPr>
            <w:r>
              <w:rPr/>
              <w:t>Identity Service validates credentials (bcrypt/argon2), issues JWT access + refresh token; API Gateway validates the JWT on every subsequent request so individual services do not need to re-authenticate the user</w:t>
            </w:r>
          </w:p>
        </w:tc>
        <w:tc>
          <w:tcPr>
            <w:tcW w:w="2347" w:type="dxa"/>
            <w:tcBorders/>
            <w:vAlign w:val="center"/>
          </w:tcPr>
          <w:p>
            <w:pPr>
              <w:pStyle w:val="TableContents"/>
              <w:bidi w:val="0"/>
              <w:spacing w:before="0" w:after="283"/>
              <w:jc w:val="left"/>
              <w:rPr/>
            </w:pPr>
            <w:r>
              <w:rPr/>
              <w:t>FR-AUTH-01, NFR-09</w:t>
            </w:r>
          </w:p>
        </w:tc>
      </w:tr>
      <w:tr>
        <w:trPr/>
        <w:tc>
          <w:tcPr>
            <w:tcW w:w="2057" w:type="dxa"/>
            <w:tcBorders/>
            <w:vAlign w:val="center"/>
          </w:tcPr>
          <w:p>
            <w:pPr>
              <w:pStyle w:val="TableContents"/>
              <w:bidi w:val="0"/>
              <w:spacing w:before="0" w:after="283"/>
              <w:jc w:val="left"/>
              <w:rPr/>
            </w:pPr>
            <w:r>
              <w:rPr/>
              <w:t>Session timeout / lockout</w:t>
            </w:r>
          </w:p>
        </w:tc>
        <w:tc>
          <w:tcPr>
            <w:tcW w:w="6935" w:type="dxa"/>
            <w:tcBorders/>
            <w:vAlign w:val="center"/>
          </w:tcPr>
          <w:p>
            <w:pPr>
              <w:pStyle w:val="TableContents"/>
              <w:bidi w:val="0"/>
              <w:spacing w:before="0" w:after="283"/>
              <w:jc w:val="left"/>
              <w:rPr/>
            </w:pPr>
            <w:r>
              <w:rPr/>
              <w:t>Identity Service owns refresh-token revocation (Redis) and failed-attempt counters</w:t>
            </w:r>
          </w:p>
        </w:tc>
        <w:tc>
          <w:tcPr>
            <w:tcW w:w="2347" w:type="dxa"/>
            <w:tcBorders/>
            <w:vAlign w:val="center"/>
          </w:tcPr>
          <w:p>
            <w:pPr>
              <w:pStyle w:val="TableContents"/>
              <w:bidi w:val="0"/>
              <w:spacing w:before="0" w:after="283"/>
              <w:jc w:val="left"/>
              <w:rPr/>
            </w:pPr>
            <w:r>
              <w:rPr/>
              <w:t>FR-AUTH-05, 06</w:t>
            </w:r>
          </w:p>
        </w:tc>
      </w:tr>
      <w:tr>
        <w:trPr/>
        <w:tc>
          <w:tcPr>
            <w:tcW w:w="2057" w:type="dxa"/>
            <w:tcBorders/>
            <w:vAlign w:val="center"/>
          </w:tcPr>
          <w:p>
            <w:pPr>
              <w:pStyle w:val="TableContents"/>
              <w:bidi w:val="0"/>
              <w:spacing w:before="0" w:after="283"/>
              <w:jc w:val="left"/>
              <w:rPr/>
            </w:pPr>
            <w:r>
              <w:rPr/>
              <w:t>Authorization</w:t>
            </w:r>
          </w:p>
        </w:tc>
        <w:tc>
          <w:tcPr>
            <w:tcW w:w="6935" w:type="dxa"/>
            <w:tcBorders/>
            <w:vAlign w:val="center"/>
          </w:tcPr>
          <w:p>
            <w:pPr>
              <w:pStyle w:val="TableContents"/>
              <w:bidi w:val="0"/>
              <w:spacing w:before="0" w:after="283"/>
              <w:jc w:val="left"/>
              <w:rPr/>
            </w:pPr>
            <w:r>
              <w:rPr/>
              <w:t>API Gateway performs coarse-grained routing checks; each service performs its own fine-grained, server-side authorization check — never relies on the client or the Gateway alone</w:t>
            </w:r>
          </w:p>
        </w:tc>
        <w:tc>
          <w:tcPr>
            <w:tcW w:w="2347" w:type="dxa"/>
            <w:tcBorders/>
            <w:vAlign w:val="center"/>
          </w:tcPr>
          <w:p>
            <w:pPr>
              <w:pStyle w:val="TableContents"/>
              <w:bidi w:val="0"/>
              <w:spacing w:before="0" w:after="283"/>
              <w:jc w:val="left"/>
              <w:rPr/>
            </w:pPr>
            <w:r>
              <w:rPr/>
              <w:t>SEC-01, FR-USER-07</w:t>
            </w:r>
          </w:p>
        </w:tc>
      </w:tr>
      <w:tr>
        <w:trPr/>
        <w:tc>
          <w:tcPr>
            <w:tcW w:w="2057" w:type="dxa"/>
            <w:tcBorders/>
            <w:vAlign w:val="center"/>
          </w:tcPr>
          <w:p>
            <w:pPr>
              <w:pStyle w:val="TableContents"/>
              <w:bidi w:val="0"/>
              <w:spacing w:before="0" w:after="283"/>
              <w:jc w:val="left"/>
              <w:rPr/>
            </w:pPr>
            <w:r>
              <w:rPr/>
              <w:t>Service-to-service calls</w:t>
            </w:r>
          </w:p>
        </w:tc>
        <w:tc>
          <w:tcPr>
            <w:tcW w:w="6935" w:type="dxa"/>
            <w:tcBorders/>
            <w:vAlign w:val="center"/>
          </w:tcPr>
          <w:p>
            <w:pPr>
              <w:pStyle w:val="TableContents"/>
              <w:bidi w:val="0"/>
              <w:spacing w:before="0" w:after="283"/>
              <w:jc w:val="left"/>
              <w:rPr/>
            </w:pPr>
            <w:r>
              <w:rPr/>
              <w:t>Internal calls (e.g. Gateway → service) authenticated with short-lived service tokens, separate from user JWTs</w:t>
            </w:r>
          </w:p>
        </w:tc>
        <w:tc>
          <w:tcPr>
            <w:tcW w:w="2347" w:type="dxa"/>
            <w:tcBorders/>
            <w:vAlign w:val="center"/>
          </w:tcPr>
          <w:p>
            <w:pPr>
              <w:pStyle w:val="TableContents"/>
              <w:bidi w:val="0"/>
              <w:spacing w:before="0" w:after="283"/>
              <w:jc w:val="left"/>
              <w:rPr/>
            </w:pPr>
            <w:r>
              <w:rPr/>
              <w:t>Extension of SEC-01 to the service boundary</w:t>
            </w:r>
          </w:p>
        </w:tc>
      </w:tr>
    </w:tbl>
    <w:p>
      <w:pPr>
        <w:pStyle w:val="Heading2"/>
        <w:bidi w:val="0"/>
        <w:jc w:val="left"/>
        <w:rPr/>
      </w:pPr>
      <w:r>
        <w:rPr/>
        <w:t>8. Cross-Cutting Observability (Now In Scope for Phase 1)</w:t>
      </w:r>
    </w:p>
    <w:p>
      <w:pPr>
        <w:pStyle w:val="BodyText"/>
        <w:bidi w:val="0"/>
        <w:jc w:val="left"/>
        <w:rPr/>
      </w:pPr>
      <w:r>
        <w:rPr/>
        <w:t>Because ADR-02 distributes functionality across eight services, diagnosing an issue by reading one application's logs — sufficient in the monolith design — is no longer sufficient. This makes the following mandatory Phase 1 infrastructure, not later-phase enhancements:</w:t>
      </w:r>
    </w:p>
    <w:tbl>
      <w:tblPr>
        <w:tblW w:w="11339" w:type="dxa"/>
        <w:jc w:val="left"/>
        <w:tblInd w:w="28" w:type="dxa"/>
        <w:tblLayout w:type="fixed"/>
        <w:tblCellMar>
          <w:top w:w="28" w:type="dxa"/>
          <w:left w:w="28" w:type="dxa"/>
          <w:bottom w:w="28" w:type="dxa"/>
          <w:right w:w="28" w:type="dxa"/>
        </w:tblCellMar>
      </w:tblPr>
      <w:tblGrid>
        <w:gridCol w:w="2914"/>
        <w:gridCol w:w="8425"/>
      </w:tblGrid>
      <w:tr>
        <w:trPr/>
        <w:tc>
          <w:tcPr>
            <w:tcW w:w="2914" w:type="dxa"/>
            <w:tcBorders/>
            <w:vAlign w:val="center"/>
          </w:tcPr>
          <w:p>
            <w:pPr>
              <w:pStyle w:val="TableHeading"/>
              <w:suppressLineNumbers/>
              <w:shd w:fill="1F3864" w:val="clear"/>
              <w:bidi w:val="0"/>
              <w:spacing w:before="0" w:after="283"/>
              <w:jc w:val="left"/>
              <w:rPr/>
            </w:pPr>
            <w:r>
              <w:rPr/>
              <w:t>Tool</w:t>
            </w:r>
          </w:p>
        </w:tc>
        <w:tc>
          <w:tcPr>
            <w:tcW w:w="8425" w:type="dxa"/>
            <w:tcBorders/>
            <w:vAlign w:val="center"/>
          </w:tcPr>
          <w:p>
            <w:pPr>
              <w:pStyle w:val="TableHeading"/>
              <w:suppressLineNumbers/>
              <w:shd w:fill="1F3864" w:val="clear"/>
              <w:bidi w:val="0"/>
              <w:spacing w:before="0" w:after="283"/>
              <w:jc w:val="left"/>
              <w:rPr/>
            </w:pPr>
            <w:r>
              <w:rPr/>
              <w:t>Role</w:t>
            </w:r>
          </w:p>
        </w:tc>
      </w:tr>
      <w:tr>
        <w:trPr/>
        <w:tc>
          <w:tcPr>
            <w:tcW w:w="2914" w:type="dxa"/>
            <w:tcBorders/>
            <w:vAlign w:val="center"/>
          </w:tcPr>
          <w:p>
            <w:pPr>
              <w:pStyle w:val="TableContents"/>
              <w:bidi w:val="0"/>
              <w:spacing w:before="0" w:after="283"/>
              <w:jc w:val="left"/>
              <w:rPr/>
            </w:pPr>
            <w:r>
              <w:rPr/>
              <w:t>Prometheus / Grafana</w:t>
            </w:r>
          </w:p>
        </w:tc>
        <w:tc>
          <w:tcPr>
            <w:tcW w:w="8425" w:type="dxa"/>
            <w:tcBorders/>
            <w:vAlign w:val="center"/>
          </w:tcPr>
          <w:p>
            <w:pPr>
              <w:pStyle w:val="TableContents"/>
              <w:bidi w:val="0"/>
              <w:spacing w:before="0" w:after="283"/>
              <w:jc w:val="left"/>
              <w:rPr/>
            </w:pPr>
            <w:r>
              <w:rPr/>
              <w:t>Metrics collection and dashboards per service (request rate, error rate, latency)</w:t>
            </w:r>
          </w:p>
        </w:tc>
      </w:tr>
      <w:tr>
        <w:trPr/>
        <w:tc>
          <w:tcPr>
            <w:tcW w:w="2914" w:type="dxa"/>
            <w:tcBorders/>
            <w:vAlign w:val="center"/>
          </w:tcPr>
          <w:p>
            <w:pPr>
              <w:pStyle w:val="TableContents"/>
              <w:bidi w:val="0"/>
              <w:spacing w:before="0" w:after="283"/>
              <w:jc w:val="left"/>
              <w:rPr/>
            </w:pPr>
            <w:r>
              <w:rPr/>
              <w:t>Jaeger</w:t>
            </w:r>
          </w:p>
        </w:tc>
        <w:tc>
          <w:tcPr>
            <w:tcW w:w="8425" w:type="dxa"/>
            <w:tcBorders/>
            <w:vAlign w:val="center"/>
          </w:tcPr>
          <w:p>
            <w:pPr>
              <w:pStyle w:val="TableContents"/>
              <w:bidi w:val="0"/>
              <w:spacing w:before="0" w:after="283"/>
              <w:jc w:val="left"/>
              <w:rPr/>
            </w:pPr>
            <w:r>
              <w:rPr/>
              <w:t>Distributed tracing — follows a single request as it crosses the API Gateway and one or more services, essential for debugging cross-service issues</w:t>
            </w:r>
          </w:p>
        </w:tc>
      </w:tr>
      <w:tr>
        <w:trPr/>
        <w:tc>
          <w:tcPr>
            <w:tcW w:w="2914" w:type="dxa"/>
            <w:tcBorders/>
            <w:vAlign w:val="center"/>
          </w:tcPr>
          <w:p>
            <w:pPr>
              <w:pStyle w:val="TableContents"/>
              <w:bidi w:val="0"/>
              <w:spacing w:before="0" w:after="283"/>
              <w:jc w:val="left"/>
              <w:rPr/>
            </w:pPr>
            <w:r>
              <w:rPr/>
              <w:t>EFK Stack (Elasticsearch, Fluentd, Kibana)</w:t>
            </w:r>
          </w:p>
        </w:tc>
        <w:tc>
          <w:tcPr>
            <w:tcW w:w="8425" w:type="dxa"/>
            <w:tcBorders/>
            <w:vAlign w:val="center"/>
          </w:tcPr>
          <w:p>
            <w:pPr>
              <w:pStyle w:val="TableContents"/>
              <w:bidi w:val="0"/>
              <w:spacing w:before="0" w:after="283"/>
              <w:jc w:val="left"/>
              <w:rPr/>
            </w:pPr>
            <w:r>
              <w:rPr/>
              <w:t>Centralized log aggregation across all eight services and the Gateway</w:t>
            </w:r>
          </w:p>
        </w:tc>
      </w:tr>
      <w:tr>
        <w:trPr/>
        <w:tc>
          <w:tcPr>
            <w:tcW w:w="2914" w:type="dxa"/>
            <w:tcBorders/>
            <w:vAlign w:val="center"/>
          </w:tcPr>
          <w:p>
            <w:pPr>
              <w:pStyle w:val="TableContents"/>
              <w:bidi w:val="0"/>
              <w:spacing w:before="0" w:after="283"/>
              <w:jc w:val="left"/>
              <w:rPr/>
            </w:pPr>
            <w:r>
              <w:rPr/>
              <w:t>Ansible</w:t>
            </w:r>
          </w:p>
        </w:tc>
        <w:tc>
          <w:tcPr>
            <w:tcW w:w="8425" w:type="dxa"/>
            <w:tcBorders/>
            <w:vAlign w:val="center"/>
          </w:tcPr>
          <w:p>
            <w:pPr>
              <w:pStyle w:val="TableContents"/>
              <w:bidi w:val="0"/>
              <w:spacing w:before="0" w:after="283"/>
              <w:jc w:val="left"/>
              <w:rPr/>
            </w:pPr>
            <w:r>
              <w:rPr/>
              <w:t>Consistent configuration and deployment automation across every service</w:t>
            </w:r>
          </w:p>
        </w:tc>
      </w:tr>
    </w:tbl>
    <w:p>
      <w:pPr>
        <w:pStyle w:val="Heading2"/>
        <w:bidi w:val="0"/>
        <w:jc w:val="left"/>
        <w:rPr/>
      </w:pPr>
      <w:r>
        <w:rPr/>
        <w:t>9. Kafka Domain Events (Summary)</w:t>
      </w:r>
    </w:p>
    <w:p>
      <w:pPr>
        <w:pStyle w:val="BodyText"/>
        <w:bidi w:val="0"/>
        <w:jc w:val="left"/>
        <w:rPr/>
      </w:pPr>
      <w:r>
        <w:rPr/>
        <w:t>Full event payload schemas belong in the API Specification document; this table records the topics needed for Phase 1 so the Database Design Document's Audit &amp; Reporting Service tables can be designed against them.</w:t>
      </w:r>
    </w:p>
    <w:tbl>
      <w:tblPr>
        <w:tblW w:w="11339" w:type="dxa"/>
        <w:jc w:val="left"/>
        <w:tblInd w:w="28" w:type="dxa"/>
        <w:tblLayout w:type="fixed"/>
        <w:tblCellMar>
          <w:top w:w="28" w:type="dxa"/>
          <w:left w:w="28" w:type="dxa"/>
          <w:bottom w:w="28" w:type="dxa"/>
          <w:right w:w="28" w:type="dxa"/>
        </w:tblCellMar>
      </w:tblPr>
      <w:tblGrid>
        <w:gridCol w:w="4586"/>
        <w:gridCol w:w="4114"/>
        <w:gridCol w:w="2639"/>
      </w:tblGrid>
      <w:tr>
        <w:trPr/>
        <w:tc>
          <w:tcPr>
            <w:tcW w:w="4586" w:type="dxa"/>
            <w:tcBorders/>
            <w:vAlign w:val="center"/>
          </w:tcPr>
          <w:p>
            <w:pPr>
              <w:pStyle w:val="TableHeading"/>
              <w:suppressLineNumbers/>
              <w:shd w:fill="1F3864" w:val="clear"/>
              <w:bidi w:val="0"/>
              <w:spacing w:before="0" w:after="283"/>
              <w:jc w:val="left"/>
              <w:rPr/>
            </w:pPr>
            <w:r>
              <w:rPr/>
              <w:t>Topic</w:t>
            </w:r>
          </w:p>
        </w:tc>
        <w:tc>
          <w:tcPr>
            <w:tcW w:w="4114" w:type="dxa"/>
            <w:tcBorders/>
            <w:vAlign w:val="center"/>
          </w:tcPr>
          <w:p>
            <w:pPr>
              <w:pStyle w:val="TableHeading"/>
              <w:suppressLineNumbers/>
              <w:shd w:fill="1F3864" w:val="clear"/>
              <w:bidi w:val="0"/>
              <w:spacing w:before="0" w:after="283"/>
              <w:jc w:val="left"/>
              <w:rPr/>
            </w:pPr>
            <w:r>
              <w:rPr/>
              <w:t>Published By</w:t>
            </w:r>
          </w:p>
        </w:tc>
        <w:tc>
          <w:tcPr>
            <w:tcW w:w="2639" w:type="dxa"/>
            <w:tcBorders/>
            <w:vAlign w:val="center"/>
          </w:tcPr>
          <w:p>
            <w:pPr>
              <w:pStyle w:val="TableHeading"/>
              <w:suppressLineNumbers/>
              <w:shd w:fill="1F3864" w:val="clear"/>
              <w:bidi w:val="0"/>
              <w:spacing w:before="0" w:after="283"/>
              <w:jc w:val="left"/>
              <w:rPr/>
            </w:pPr>
            <w:r>
              <w:rPr/>
              <w:t>Consumed By</w:t>
            </w:r>
          </w:p>
        </w:tc>
      </w:tr>
      <w:tr>
        <w:trPr/>
        <w:tc>
          <w:tcPr>
            <w:tcW w:w="4586" w:type="dxa"/>
            <w:tcBorders/>
            <w:vAlign w:val="center"/>
          </w:tcPr>
          <w:p>
            <w:pPr>
              <w:pStyle w:val="TableContents"/>
              <w:bidi w:val="0"/>
              <w:spacing w:before="0" w:after="283"/>
              <w:jc w:val="left"/>
              <w:rPr/>
            </w:pPr>
            <w:r>
              <w:rPr/>
              <w:t>organization.company.created / .updated</w:t>
            </w:r>
          </w:p>
        </w:tc>
        <w:tc>
          <w:tcPr>
            <w:tcW w:w="4114" w:type="dxa"/>
            <w:tcBorders/>
            <w:vAlign w:val="center"/>
          </w:tcPr>
          <w:p>
            <w:pPr>
              <w:pStyle w:val="TableContents"/>
              <w:bidi w:val="0"/>
              <w:spacing w:before="0" w:after="283"/>
              <w:jc w:val="left"/>
              <w:rPr/>
            </w:pPr>
            <w:r>
              <w:rPr/>
              <w:t>Organization Service</w:t>
            </w:r>
          </w:p>
        </w:tc>
        <w:tc>
          <w:tcPr>
            <w:tcW w:w="2639" w:type="dxa"/>
            <w:tcBorders/>
            <w:vAlign w:val="center"/>
          </w:tcPr>
          <w:p>
            <w:pPr>
              <w:pStyle w:val="TableContents"/>
              <w:bidi w:val="0"/>
              <w:spacing w:before="0" w:after="283"/>
              <w:jc w:val="left"/>
              <w:rPr/>
            </w:pPr>
            <w:r>
              <w:rPr/>
              <w:t>Audit &amp; Reporting Service</w:t>
            </w:r>
          </w:p>
        </w:tc>
      </w:tr>
      <w:tr>
        <w:trPr/>
        <w:tc>
          <w:tcPr>
            <w:tcW w:w="4586" w:type="dxa"/>
            <w:tcBorders/>
            <w:vAlign w:val="center"/>
          </w:tcPr>
          <w:p>
            <w:pPr>
              <w:pStyle w:val="TableContents"/>
              <w:bidi w:val="0"/>
              <w:spacing w:before="0" w:after="283"/>
              <w:jc w:val="left"/>
              <w:rPr/>
            </w:pPr>
            <w:r>
              <w:rPr/>
              <w:t>organization.branch.created / .updated</w:t>
            </w:r>
          </w:p>
        </w:tc>
        <w:tc>
          <w:tcPr>
            <w:tcW w:w="4114" w:type="dxa"/>
            <w:tcBorders/>
            <w:vAlign w:val="center"/>
          </w:tcPr>
          <w:p>
            <w:pPr>
              <w:pStyle w:val="TableContents"/>
              <w:bidi w:val="0"/>
              <w:spacing w:before="0" w:after="283"/>
              <w:jc w:val="left"/>
              <w:rPr/>
            </w:pPr>
            <w:r>
              <w:rPr/>
              <w:t>Organization Service</w:t>
            </w:r>
          </w:p>
        </w:tc>
        <w:tc>
          <w:tcPr>
            <w:tcW w:w="2639" w:type="dxa"/>
            <w:tcBorders/>
            <w:vAlign w:val="center"/>
          </w:tcPr>
          <w:p>
            <w:pPr>
              <w:pStyle w:val="TableContents"/>
              <w:bidi w:val="0"/>
              <w:spacing w:before="0" w:after="283"/>
              <w:jc w:val="left"/>
              <w:rPr/>
            </w:pPr>
            <w:r>
              <w:rPr/>
              <w:t>Audit &amp; Reporting Service</w:t>
            </w:r>
          </w:p>
        </w:tc>
      </w:tr>
      <w:tr>
        <w:trPr/>
        <w:tc>
          <w:tcPr>
            <w:tcW w:w="4586" w:type="dxa"/>
            <w:tcBorders/>
            <w:vAlign w:val="center"/>
          </w:tcPr>
          <w:p>
            <w:pPr>
              <w:pStyle w:val="TableContents"/>
              <w:bidi w:val="0"/>
              <w:spacing w:before="0" w:after="283"/>
              <w:jc w:val="left"/>
              <w:rPr/>
            </w:pPr>
            <w:r>
              <w:rPr/>
              <w:t>identity.user.created / .updated / .deactivated</w:t>
            </w:r>
          </w:p>
        </w:tc>
        <w:tc>
          <w:tcPr>
            <w:tcW w:w="4114" w:type="dxa"/>
            <w:tcBorders/>
            <w:vAlign w:val="center"/>
          </w:tcPr>
          <w:p>
            <w:pPr>
              <w:pStyle w:val="TableContents"/>
              <w:bidi w:val="0"/>
              <w:spacing w:before="0" w:after="283"/>
              <w:jc w:val="left"/>
              <w:rPr/>
            </w:pPr>
            <w:r>
              <w:rPr/>
              <w:t>Identity Service</w:t>
            </w:r>
          </w:p>
        </w:tc>
        <w:tc>
          <w:tcPr>
            <w:tcW w:w="2639" w:type="dxa"/>
            <w:tcBorders/>
            <w:vAlign w:val="center"/>
          </w:tcPr>
          <w:p>
            <w:pPr>
              <w:pStyle w:val="TableContents"/>
              <w:bidi w:val="0"/>
              <w:spacing w:before="0" w:after="283"/>
              <w:jc w:val="left"/>
              <w:rPr/>
            </w:pPr>
            <w:r>
              <w:rPr/>
              <w:t>Audit &amp; Reporting Service</w:t>
            </w:r>
          </w:p>
        </w:tc>
      </w:tr>
      <w:tr>
        <w:trPr/>
        <w:tc>
          <w:tcPr>
            <w:tcW w:w="4586" w:type="dxa"/>
            <w:tcBorders/>
            <w:vAlign w:val="center"/>
          </w:tcPr>
          <w:p>
            <w:pPr>
              <w:pStyle w:val="TableContents"/>
              <w:bidi w:val="0"/>
              <w:spacing w:before="0" w:after="283"/>
              <w:jc w:val="left"/>
              <w:rPr/>
            </w:pPr>
            <w:r>
              <w:rPr/>
              <w:t>employee.record.created / .updated</w:t>
            </w:r>
          </w:p>
        </w:tc>
        <w:tc>
          <w:tcPr>
            <w:tcW w:w="4114" w:type="dxa"/>
            <w:tcBorders/>
            <w:vAlign w:val="center"/>
          </w:tcPr>
          <w:p>
            <w:pPr>
              <w:pStyle w:val="TableContents"/>
              <w:bidi w:val="0"/>
              <w:spacing w:before="0" w:after="283"/>
              <w:jc w:val="left"/>
              <w:rPr/>
            </w:pPr>
            <w:r>
              <w:rPr/>
              <w:t>Employee Service</w:t>
            </w:r>
          </w:p>
        </w:tc>
        <w:tc>
          <w:tcPr>
            <w:tcW w:w="2639" w:type="dxa"/>
            <w:tcBorders/>
            <w:vAlign w:val="center"/>
          </w:tcPr>
          <w:p>
            <w:pPr>
              <w:pStyle w:val="TableContents"/>
              <w:bidi w:val="0"/>
              <w:spacing w:before="0" w:after="283"/>
              <w:jc w:val="left"/>
              <w:rPr/>
            </w:pPr>
            <w:r>
              <w:rPr/>
              <w:t>Audit &amp; Reporting Service</w:t>
            </w:r>
          </w:p>
        </w:tc>
      </w:tr>
      <w:tr>
        <w:trPr/>
        <w:tc>
          <w:tcPr>
            <w:tcW w:w="4586" w:type="dxa"/>
            <w:tcBorders/>
            <w:vAlign w:val="center"/>
          </w:tcPr>
          <w:p>
            <w:pPr>
              <w:pStyle w:val="TableContents"/>
              <w:bidi w:val="0"/>
              <w:spacing w:before="0" w:after="283"/>
              <w:jc w:val="left"/>
              <w:rPr/>
            </w:pPr>
            <w:r>
              <w:rPr/>
              <w:t>customer.record.created / .updated</w:t>
            </w:r>
          </w:p>
        </w:tc>
        <w:tc>
          <w:tcPr>
            <w:tcW w:w="4114" w:type="dxa"/>
            <w:tcBorders/>
            <w:vAlign w:val="center"/>
          </w:tcPr>
          <w:p>
            <w:pPr>
              <w:pStyle w:val="TableContents"/>
              <w:bidi w:val="0"/>
              <w:spacing w:before="0" w:after="283"/>
              <w:jc w:val="left"/>
              <w:rPr/>
            </w:pPr>
            <w:r>
              <w:rPr/>
              <w:t>Customer Service</w:t>
            </w:r>
          </w:p>
        </w:tc>
        <w:tc>
          <w:tcPr>
            <w:tcW w:w="2639" w:type="dxa"/>
            <w:tcBorders/>
            <w:vAlign w:val="center"/>
          </w:tcPr>
          <w:p>
            <w:pPr>
              <w:pStyle w:val="TableContents"/>
              <w:bidi w:val="0"/>
              <w:spacing w:before="0" w:after="283"/>
              <w:jc w:val="left"/>
              <w:rPr/>
            </w:pPr>
            <w:r>
              <w:rPr/>
              <w:t>Audit &amp; Reporting Service</w:t>
            </w:r>
          </w:p>
        </w:tc>
      </w:tr>
      <w:tr>
        <w:trPr/>
        <w:tc>
          <w:tcPr>
            <w:tcW w:w="4586" w:type="dxa"/>
            <w:tcBorders/>
            <w:vAlign w:val="center"/>
          </w:tcPr>
          <w:p>
            <w:pPr>
              <w:pStyle w:val="TableContents"/>
              <w:bidi w:val="0"/>
              <w:spacing w:before="0" w:after="283"/>
              <w:jc w:val="left"/>
              <w:rPr/>
            </w:pPr>
            <w:r>
              <w:rPr/>
              <w:t>supplier.record.created / .updated</w:t>
            </w:r>
          </w:p>
        </w:tc>
        <w:tc>
          <w:tcPr>
            <w:tcW w:w="4114" w:type="dxa"/>
            <w:tcBorders/>
            <w:vAlign w:val="center"/>
          </w:tcPr>
          <w:p>
            <w:pPr>
              <w:pStyle w:val="TableContents"/>
              <w:bidi w:val="0"/>
              <w:spacing w:before="0" w:after="283"/>
              <w:jc w:val="left"/>
              <w:rPr/>
            </w:pPr>
            <w:r>
              <w:rPr/>
              <w:t>Supplier Service</w:t>
            </w:r>
          </w:p>
        </w:tc>
        <w:tc>
          <w:tcPr>
            <w:tcW w:w="2639" w:type="dxa"/>
            <w:tcBorders/>
            <w:vAlign w:val="center"/>
          </w:tcPr>
          <w:p>
            <w:pPr>
              <w:pStyle w:val="TableContents"/>
              <w:bidi w:val="0"/>
              <w:spacing w:before="0" w:after="283"/>
              <w:jc w:val="left"/>
              <w:rPr/>
            </w:pPr>
            <w:r>
              <w:rPr/>
              <w:t>Audit &amp; Reporting Service</w:t>
            </w:r>
          </w:p>
        </w:tc>
      </w:tr>
      <w:tr>
        <w:trPr/>
        <w:tc>
          <w:tcPr>
            <w:tcW w:w="4586" w:type="dxa"/>
            <w:tcBorders/>
            <w:vAlign w:val="center"/>
          </w:tcPr>
          <w:p>
            <w:pPr>
              <w:pStyle w:val="TableContents"/>
              <w:bidi w:val="0"/>
              <w:spacing w:before="0" w:after="283"/>
              <w:jc w:val="left"/>
              <w:rPr/>
            </w:pPr>
            <w:r>
              <w:rPr/>
              <w:t>product.record.created / .updated</w:t>
            </w:r>
          </w:p>
        </w:tc>
        <w:tc>
          <w:tcPr>
            <w:tcW w:w="4114" w:type="dxa"/>
            <w:tcBorders/>
            <w:vAlign w:val="center"/>
          </w:tcPr>
          <w:p>
            <w:pPr>
              <w:pStyle w:val="TableContents"/>
              <w:bidi w:val="0"/>
              <w:spacing w:before="0" w:after="283"/>
              <w:jc w:val="left"/>
              <w:rPr/>
            </w:pPr>
            <w:r>
              <w:rPr/>
              <w:t>Product Service</w:t>
            </w:r>
          </w:p>
        </w:tc>
        <w:tc>
          <w:tcPr>
            <w:tcW w:w="2639" w:type="dxa"/>
            <w:tcBorders/>
            <w:vAlign w:val="center"/>
          </w:tcPr>
          <w:p>
            <w:pPr>
              <w:pStyle w:val="TableContents"/>
              <w:bidi w:val="0"/>
              <w:spacing w:before="0" w:after="283"/>
              <w:jc w:val="left"/>
              <w:rPr/>
            </w:pPr>
            <w:r>
              <w:rPr/>
              <w:t>Audit &amp; Reporting Service</w:t>
            </w:r>
          </w:p>
        </w:tc>
      </w:tr>
      <w:tr>
        <w:trPr/>
        <w:tc>
          <w:tcPr>
            <w:tcW w:w="4586" w:type="dxa"/>
            <w:tcBorders/>
            <w:vAlign w:val="center"/>
          </w:tcPr>
          <w:p>
            <w:pPr>
              <w:pStyle w:val="TableContents"/>
              <w:bidi w:val="0"/>
              <w:spacing w:before="0" w:after="283"/>
              <w:jc w:val="left"/>
              <w:rPr/>
            </w:pPr>
            <w:r>
              <w:rPr/>
              <w:t>accounting.journal_entry.posted</w:t>
            </w:r>
          </w:p>
        </w:tc>
        <w:tc>
          <w:tcPr>
            <w:tcW w:w="4114" w:type="dxa"/>
            <w:tcBorders/>
            <w:vAlign w:val="center"/>
          </w:tcPr>
          <w:p>
            <w:pPr>
              <w:pStyle w:val="TableContents"/>
              <w:bidi w:val="0"/>
              <w:spacing w:before="0" w:after="283"/>
              <w:jc w:val="left"/>
              <w:rPr/>
            </w:pPr>
            <w:r>
              <w:rPr/>
              <w:t>Accounting Service</w:t>
            </w:r>
          </w:p>
        </w:tc>
        <w:tc>
          <w:tcPr>
            <w:tcW w:w="2639" w:type="dxa"/>
            <w:tcBorders/>
            <w:vAlign w:val="center"/>
          </w:tcPr>
          <w:p>
            <w:pPr>
              <w:pStyle w:val="TableContents"/>
              <w:bidi w:val="0"/>
              <w:spacing w:before="0" w:after="283"/>
              <w:jc w:val="left"/>
              <w:rPr/>
            </w:pPr>
            <w:r>
              <w:rPr/>
              <w:t>Audit &amp; Reporting Service</w:t>
            </w:r>
          </w:p>
        </w:tc>
      </w:tr>
      <w:tr>
        <w:trPr/>
        <w:tc>
          <w:tcPr>
            <w:tcW w:w="4586" w:type="dxa"/>
            <w:tcBorders/>
            <w:vAlign w:val="center"/>
          </w:tcPr>
          <w:p>
            <w:pPr>
              <w:pStyle w:val="TableContents"/>
              <w:bidi w:val="0"/>
              <w:spacing w:before="0" w:after="283"/>
              <w:jc w:val="left"/>
              <w:rPr/>
            </w:pPr>
            <w:r>
              <w:rPr/>
              <w:t>*.access.denied</w:t>
            </w:r>
          </w:p>
        </w:tc>
        <w:tc>
          <w:tcPr>
            <w:tcW w:w="4114" w:type="dxa"/>
            <w:tcBorders/>
            <w:vAlign w:val="center"/>
          </w:tcPr>
          <w:p>
            <w:pPr>
              <w:pStyle w:val="TableContents"/>
              <w:bidi w:val="0"/>
              <w:spacing w:before="0" w:after="283"/>
              <w:jc w:val="left"/>
              <w:rPr/>
            </w:pPr>
            <w:r>
              <w:rPr/>
              <w:t>Every service (on an authorization failure)</w:t>
            </w:r>
          </w:p>
        </w:tc>
        <w:tc>
          <w:tcPr>
            <w:tcW w:w="2639" w:type="dxa"/>
            <w:tcBorders/>
            <w:vAlign w:val="center"/>
          </w:tcPr>
          <w:p>
            <w:pPr>
              <w:pStyle w:val="TableContents"/>
              <w:bidi w:val="0"/>
              <w:spacing w:before="0" w:after="283"/>
              <w:jc w:val="left"/>
              <w:rPr/>
            </w:pPr>
            <w:r>
              <w:rPr/>
              <w:t>Audit &amp; Reporting Service</w:t>
            </w:r>
          </w:p>
        </w:tc>
      </w:tr>
    </w:tbl>
    <w:p>
      <w:pPr>
        <w:pStyle w:val="BodyText"/>
        <w:bidi w:val="0"/>
        <w:jc w:val="left"/>
        <w:rPr/>
      </w:pPr>
      <w:r>
        <w:rPr/>
        <w:t>Every event listed above carries, at minimum: event type, timestamp, acting user ID, company_id, entity ID, and before/after values where applicable — this is what allows the Audit &amp; Reporting Service to satisfy FR-AUDIT-01 without owning the source data itself.</w:t>
      </w:r>
    </w:p>
    <w:p>
      <w:pPr>
        <w:pStyle w:val="Heading2"/>
        <w:bidi w:val="0"/>
        <w:jc w:val="left"/>
        <w:rPr/>
      </w:pPr>
      <w:r>
        <w:rPr/>
        <w:t>10. API Design Approach</w:t>
      </w:r>
    </w:p>
    <w:p>
      <w:pPr>
        <w:pStyle w:val="BodyText"/>
        <w:numPr>
          <w:ilvl w:val="0"/>
          <w:numId w:val="2"/>
        </w:numPr>
        <w:tabs>
          <w:tab w:val="clear" w:pos="1134"/>
          <w:tab w:val="left" w:pos="709" w:leader="none"/>
        </w:tabs>
        <w:bidi w:val="0"/>
        <w:spacing w:before="0" w:after="0"/>
        <w:ind w:hanging="283" w:left="709"/>
        <w:jc w:val="left"/>
        <w:rPr/>
      </w:pPr>
      <w:r>
        <w:rPr>
          <w:b/>
        </w:rPr>
        <w:t>Style:</w:t>
      </w:r>
      <w:r>
        <w:rPr/>
        <w:t xml:space="preserve"> REST per service, documented with OpenAPI; the API Gateway exposes a single unified surface to clients. </w:t>
      </w:r>
    </w:p>
    <w:p>
      <w:pPr>
        <w:pStyle w:val="BodyText"/>
        <w:numPr>
          <w:ilvl w:val="0"/>
          <w:numId w:val="2"/>
        </w:numPr>
        <w:tabs>
          <w:tab w:val="clear" w:pos="1134"/>
          <w:tab w:val="left" w:pos="709" w:leader="none"/>
        </w:tabs>
        <w:bidi w:val="0"/>
        <w:spacing w:before="0" w:after="0"/>
        <w:ind w:hanging="283" w:left="709"/>
        <w:jc w:val="left"/>
        <w:rPr/>
      </w:pPr>
      <w:r>
        <w:rPr>
          <w:b/>
        </w:rPr>
        <w:t>Versioning:</w:t>
      </w:r>
      <w:r>
        <w:rPr/>
        <w:t xml:space="preserve"> URL-prefixed per service (</w:t>
      </w:r>
      <w:r>
        <w:rPr>
          <w:rStyle w:val="SourceText"/>
        </w:rPr>
        <w:t>/api/v1/organization/...</w:t>
      </w:r>
      <w:r>
        <w:rPr/>
        <w:t xml:space="preserve">, </w:t>
      </w:r>
      <w:r>
        <w:rPr>
          <w:rStyle w:val="SourceText"/>
        </w:rPr>
        <w:t>/api/v1/employees/...</w:t>
      </w:r>
      <w:r>
        <w:rPr/>
        <w:t xml:space="preserve">, etc.). </w:t>
      </w:r>
    </w:p>
    <w:p>
      <w:pPr>
        <w:pStyle w:val="BodyText"/>
        <w:numPr>
          <w:ilvl w:val="0"/>
          <w:numId w:val="2"/>
        </w:numPr>
        <w:tabs>
          <w:tab w:val="clear" w:pos="1134"/>
          <w:tab w:val="left" w:pos="709" w:leader="none"/>
        </w:tabs>
        <w:bidi w:val="0"/>
        <w:ind w:hanging="283" w:left="709"/>
        <w:jc w:val="left"/>
        <w:rPr/>
      </w:pPr>
      <w:r>
        <w:rPr>
          <w:b/>
        </w:rPr>
        <w:t>Response envelope and error handling:</w:t>
      </w:r>
      <w:r>
        <w:rPr/>
        <w:t xml:space="preserve"> a shared contract library used by every service, so client-facing behavior is consistent despite the services being independently deployable. </w:t>
      </w:r>
    </w:p>
    <w:p>
      <w:pPr>
        <w:pStyle w:val="Heading2"/>
        <w:bidi w:val="0"/>
        <w:jc w:val="left"/>
        <w:rPr/>
      </w:pPr>
      <w:r>
        <w:rPr/>
        <w:t>11. Deployment Architecture (Phase 1)</w:t>
      </w:r>
    </w:p>
    <w:tbl>
      <w:tblPr>
        <w:tblW w:w="11339" w:type="dxa"/>
        <w:jc w:val="left"/>
        <w:tblInd w:w="28" w:type="dxa"/>
        <w:tblLayout w:type="fixed"/>
        <w:tblCellMar>
          <w:top w:w="28" w:type="dxa"/>
          <w:left w:w="28" w:type="dxa"/>
          <w:bottom w:w="28" w:type="dxa"/>
          <w:right w:w="28" w:type="dxa"/>
        </w:tblCellMar>
      </w:tblPr>
      <w:tblGrid>
        <w:gridCol w:w="1605"/>
        <w:gridCol w:w="9734"/>
      </w:tblGrid>
      <w:tr>
        <w:trPr/>
        <w:tc>
          <w:tcPr>
            <w:tcW w:w="1605" w:type="dxa"/>
            <w:tcBorders/>
            <w:vAlign w:val="center"/>
          </w:tcPr>
          <w:p>
            <w:pPr>
              <w:pStyle w:val="TableHeading"/>
              <w:suppressLineNumbers/>
              <w:shd w:fill="1F3864" w:val="clear"/>
              <w:bidi w:val="0"/>
              <w:spacing w:before="0" w:after="283"/>
              <w:jc w:val="left"/>
              <w:rPr/>
            </w:pPr>
            <w:r>
              <w:rPr/>
              <w:t>Component</w:t>
            </w:r>
          </w:p>
        </w:tc>
        <w:tc>
          <w:tcPr>
            <w:tcW w:w="9734" w:type="dxa"/>
            <w:tcBorders/>
            <w:vAlign w:val="center"/>
          </w:tcPr>
          <w:p>
            <w:pPr>
              <w:pStyle w:val="TableHeading"/>
              <w:suppressLineNumbers/>
              <w:shd w:fill="1F3864" w:val="clear"/>
              <w:bidi w:val="0"/>
              <w:spacing w:before="0" w:after="283"/>
              <w:jc w:val="left"/>
              <w:rPr/>
            </w:pPr>
            <w:r>
              <w:rPr/>
              <w:t>Phase 1 Approach</w:t>
            </w:r>
          </w:p>
        </w:tc>
      </w:tr>
      <w:tr>
        <w:trPr/>
        <w:tc>
          <w:tcPr>
            <w:tcW w:w="1605" w:type="dxa"/>
            <w:tcBorders/>
            <w:vAlign w:val="center"/>
          </w:tcPr>
          <w:p>
            <w:pPr>
              <w:pStyle w:val="TableContents"/>
              <w:bidi w:val="0"/>
              <w:spacing w:before="0" w:after="283"/>
              <w:jc w:val="left"/>
              <w:rPr/>
            </w:pPr>
            <w:r>
              <w:rPr/>
              <w:t>Compute</w:t>
            </w:r>
          </w:p>
        </w:tc>
        <w:tc>
          <w:tcPr>
            <w:tcW w:w="9734" w:type="dxa"/>
            <w:tcBorders/>
            <w:vAlign w:val="center"/>
          </w:tcPr>
          <w:p>
            <w:pPr>
              <w:pStyle w:val="TableContents"/>
              <w:bidi w:val="0"/>
              <w:spacing w:before="0" w:after="283"/>
              <w:jc w:val="left"/>
              <w:rPr/>
            </w:pPr>
            <w:r>
              <w:rPr/>
              <w:t>One AWS ECS (Fargate) service per microservice — independent scaling and deployment per service, without managing a Kubernetes control plane (ADR-05)</w:t>
            </w:r>
          </w:p>
        </w:tc>
      </w:tr>
      <w:tr>
        <w:trPr/>
        <w:tc>
          <w:tcPr>
            <w:tcW w:w="1605" w:type="dxa"/>
            <w:tcBorders/>
            <w:vAlign w:val="center"/>
          </w:tcPr>
          <w:p>
            <w:pPr>
              <w:pStyle w:val="TableContents"/>
              <w:bidi w:val="0"/>
              <w:spacing w:before="0" w:after="283"/>
              <w:jc w:val="left"/>
              <w:rPr/>
            </w:pPr>
            <w:r>
              <w:rPr/>
              <w:t>Database</w:t>
            </w:r>
          </w:p>
        </w:tc>
        <w:tc>
          <w:tcPr>
            <w:tcW w:w="9734" w:type="dxa"/>
            <w:tcBorders/>
            <w:vAlign w:val="center"/>
          </w:tcPr>
          <w:p>
            <w:pPr>
              <w:pStyle w:val="TableContents"/>
              <w:bidi w:val="0"/>
              <w:spacing w:before="0" w:after="283"/>
              <w:jc w:val="left"/>
              <w:rPr/>
            </w:pPr>
            <w:r>
              <w:rPr/>
              <w:t>One managed AWS RDS PostgreSQL instance per service (or per-service schema on a shared RDS cluster for Phase 1 cost control, with a migration path to fully separate instances as load requires — a decision to confirm with actual usage data, not assumed here)</w:t>
            </w:r>
          </w:p>
        </w:tc>
      </w:tr>
      <w:tr>
        <w:trPr/>
        <w:tc>
          <w:tcPr>
            <w:tcW w:w="1605" w:type="dxa"/>
            <w:tcBorders/>
            <w:vAlign w:val="center"/>
          </w:tcPr>
          <w:p>
            <w:pPr>
              <w:pStyle w:val="TableContents"/>
              <w:bidi w:val="0"/>
              <w:spacing w:before="0" w:after="283"/>
              <w:jc w:val="left"/>
              <w:rPr/>
            </w:pPr>
            <w:r>
              <w:rPr/>
              <w:t>Event bus</w:t>
            </w:r>
          </w:p>
        </w:tc>
        <w:tc>
          <w:tcPr>
            <w:tcW w:w="9734" w:type="dxa"/>
            <w:tcBorders/>
            <w:vAlign w:val="center"/>
          </w:tcPr>
          <w:p>
            <w:pPr>
              <w:pStyle w:val="TableContents"/>
              <w:bidi w:val="0"/>
              <w:spacing w:before="0" w:after="283"/>
              <w:jc w:val="left"/>
              <w:rPr/>
            </w:pPr>
            <w:r>
              <w:rPr/>
              <w:t>Managed Kafka (e.g. AWS MSK) or self-hosted Kafka on ECS, cost/operational trade-off to be confirmed via vendor quotations per 01_Project Proposal, Section 9.3</w:t>
            </w:r>
          </w:p>
        </w:tc>
      </w:tr>
      <w:tr>
        <w:trPr/>
        <w:tc>
          <w:tcPr>
            <w:tcW w:w="1605" w:type="dxa"/>
            <w:tcBorders/>
            <w:vAlign w:val="center"/>
          </w:tcPr>
          <w:p>
            <w:pPr>
              <w:pStyle w:val="TableContents"/>
              <w:bidi w:val="0"/>
              <w:spacing w:before="0" w:after="283"/>
              <w:jc w:val="left"/>
              <w:rPr/>
            </w:pPr>
            <w:r>
              <w:rPr/>
              <w:t>Cache/session</w:t>
            </w:r>
          </w:p>
        </w:tc>
        <w:tc>
          <w:tcPr>
            <w:tcW w:w="9734" w:type="dxa"/>
            <w:tcBorders/>
            <w:vAlign w:val="center"/>
          </w:tcPr>
          <w:p>
            <w:pPr>
              <w:pStyle w:val="TableContents"/>
              <w:bidi w:val="0"/>
              <w:spacing w:before="0" w:after="283"/>
              <w:jc w:val="left"/>
              <w:rPr/>
            </w:pPr>
            <w:r>
              <w:rPr/>
              <w:t>Managed Redis (e.g. AWS ElastiCache), shared by the Identity Service and any service that benefits from caching</w:t>
            </w:r>
          </w:p>
        </w:tc>
      </w:tr>
      <w:tr>
        <w:trPr/>
        <w:tc>
          <w:tcPr>
            <w:tcW w:w="1605" w:type="dxa"/>
            <w:tcBorders/>
            <w:vAlign w:val="center"/>
          </w:tcPr>
          <w:p>
            <w:pPr>
              <w:pStyle w:val="TableContents"/>
              <w:bidi w:val="0"/>
              <w:spacing w:before="0" w:after="283"/>
              <w:jc w:val="left"/>
              <w:rPr/>
            </w:pPr>
            <w:r>
              <w:rPr/>
              <w:t>API Gateway</w:t>
            </w:r>
          </w:p>
        </w:tc>
        <w:tc>
          <w:tcPr>
            <w:tcW w:w="9734" w:type="dxa"/>
            <w:tcBorders/>
            <w:vAlign w:val="center"/>
          </w:tcPr>
          <w:p>
            <w:pPr>
              <w:pStyle w:val="TableContents"/>
              <w:bidi w:val="0"/>
              <w:spacing w:before="0" w:after="283"/>
              <w:jc w:val="left"/>
              <w:rPr/>
            </w:pPr>
            <w:r>
              <w:rPr/>
              <w:t>Dedicated Gateway service (NestJS) or a managed API Gateway (e.g. AWS API Gateway) fronting the ECS services — technology choice to be confirmed in the API Specification document</w:t>
            </w:r>
          </w:p>
        </w:tc>
      </w:tr>
      <w:tr>
        <w:trPr/>
        <w:tc>
          <w:tcPr>
            <w:tcW w:w="1605" w:type="dxa"/>
            <w:tcBorders/>
            <w:vAlign w:val="center"/>
          </w:tcPr>
          <w:p>
            <w:pPr>
              <w:pStyle w:val="TableContents"/>
              <w:bidi w:val="0"/>
              <w:spacing w:before="0" w:after="283"/>
              <w:jc w:val="left"/>
              <w:rPr/>
            </w:pPr>
            <w:r>
              <w:rPr/>
              <w:t>CI/CD</w:t>
            </w:r>
          </w:p>
        </w:tc>
        <w:tc>
          <w:tcPr>
            <w:tcW w:w="9734" w:type="dxa"/>
            <w:tcBorders/>
            <w:vAlign w:val="center"/>
          </w:tcPr>
          <w:p>
            <w:pPr>
              <w:pStyle w:val="TableContents"/>
              <w:bidi w:val="0"/>
              <w:spacing w:before="0" w:after="283"/>
              <w:jc w:val="left"/>
              <w:rPr/>
            </w:pPr>
            <w:r>
              <w:rPr/>
              <w:t>GitLab CI, with an independent pipeline per service so one service can be deployed without redeploying the others</w:t>
            </w:r>
          </w:p>
        </w:tc>
      </w:tr>
      <w:tr>
        <w:trPr/>
        <w:tc>
          <w:tcPr>
            <w:tcW w:w="1605" w:type="dxa"/>
            <w:tcBorders/>
            <w:vAlign w:val="center"/>
          </w:tcPr>
          <w:p>
            <w:pPr>
              <w:pStyle w:val="TableContents"/>
              <w:bidi w:val="0"/>
              <w:spacing w:before="0" w:after="283"/>
              <w:jc w:val="left"/>
              <w:rPr/>
            </w:pPr>
            <w:r>
              <w:rPr/>
              <w:t>Observability stack</w:t>
            </w:r>
          </w:p>
        </w:tc>
        <w:tc>
          <w:tcPr>
            <w:tcW w:w="9734" w:type="dxa"/>
            <w:tcBorders/>
            <w:vAlign w:val="center"/>
          </w:tcPr>
          <w:p>
            <w:pPr>
              <w:pStyle w:val="TableContents"/>
              <w:bidi w:val="0"/>
              <w:spacing w:before="0" w:after="283"/>
              <w:jc w:val="left"/>
              <w:rPr/>
            </w:pPr>
            <w:r>
              <w:rPr/>
              <w:t>Prometheus/Grafana, Jaeger and EFK deployed as shared platform services from day one (Section 8)</w:t>
            </w:r>
          </w:p>
        </w:tc>
      </w:tr>
    </w:tbl>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Cost note:</w:t>
      </w:r>
      <w:r>
        <w:rPr>
          <w:sz w:val="21"/>
          <w:bdr w:val="single" w:sz="24" w:space="9" w:color="D98C00"/>
          <w:shd w:fill="FFF4E5" w:val="clear"/>
        </w:rPr>
        <w:t xml:space="preserve"> this architecture has materially more moving parts — and therefore materially more infrastructure cost — than the monolith design in v1.0 of this document. 01_Project Proposal, Section 9 already declines to state fixed figures pending vendor quotations; this revision makes it more important, not less, that those quotations specifically price a multi-service AWS deployment (ECS, multiple RDS instances or schemas, managed Kafka, observability tooling) rather than a single-instance deployment.</w:t>
      </w:r>
    </w:p>
    <w:p>
      <w:pPr>
        <w:pStyle w:val="Heading2"/>
        <w:bidi w:val="0"/>
        <w:jc w:val="left"/>
        <w:rPr/>
      </w:pPr>
      <w:r>
        <w:rPr/>
        <w:t>12. Team and Skills Implication</w:t>
      </w:r>
    </w:p>
    <w:p>
      <w:pPr>
        <w:pStyle w:val="BodyText"/>
        <w:bidi w:val="0"/>
        <w:jc w:val="left"/>
        <w:rPr/>
      </w:pPr>
      <w:r>
        <w:rPr/>
        <w:t>The Feasibility Study (Section 3.4) assessed Phase 1 resourcing on the assumption of a modular monolith, which does not require Kafka, distributed tracing or container-orchestration expertise. This revision reintroduces that requirement for Phase 1 itself. Before development begins, the Group should confirm the engaged development team or technology partner has demonstrated experience operating a Kafka-based microservices system on AWS ECS — not only Node.js/NestJS development skill — since the operational risk identified in the Feasibility Study now applies to Phase 1 rather than to a later phase.</w:t>
      </w:r>
    </w:p>
    <w:p>
      <w:pPr>
        <w:pStyle w:val="Heading2"/>
        <w:bidi w:val="0"/>
        <w:jc w:val="left"/>
        <w:rPr/>
      </w:pPr>
      <w:r>
        <w:rPr/>
        <w:t>13. Data Architecture Overview</w:t>
      </w:r>
    </w:p>
    <w:p>
      <w:pPr>
        <w:pStyle w:val="BodyText"/>
        <w:bidi w:val="0"/>
        <w:jc w:val="left"/>
        <w:rPr/>
      </w:pPr>
      <w:r>
        <w:rPr/>
        <w:t>Under the database-per-service pattern (ADR-04), there are no cross-service foreign keys — each service validates references to another service's entities via that service's API (e.g. Employee Service confirms a company_id is valid by calling the Organization Service, or trusts a cached/event-projected copy) rather than a database-level constraint. Full per-service schemas are defined in 08_Database Design Document, next in the Group's documentation sequence.</w:t>
      </w:r>
    </w:p>
    <w:p>
      <w:pPr>
        <w:pStyle w:val="Heading2"/>
        <w:bidi w:val="0"/>
        <w:jc w:val="left"/>
        <w:rPr/>
      </w:pPr>
      <w:r>
        <w:rPr/>
        <w:t>14. Open Items Carried Forward</w:t>
      </w:r>
    </w:p>
    <w:tbl>
      <w:tblPr>
        <w:tblW w:w="11339" w:type="dxa"/>
        <w:jc w:val="left"/>
        <w:tblInd w:w="28" w:type="dxa"/>
        <w:tblLayout w:type="fixed"/>
        <w:tblCellMar>
          <w:top w:w="28" w:type="dxa"/>
          <w:left w:w="28" w:type="dxa"/>
          <w:bottom w:w="28" w:type="dxa"/>
          <w:right w:w="28" w:type="dxa"/>
        </w:tblCellMar>
      </w:tblPr>
      <w:tblGrid>
        <w:gridCol w:w="6043"/>
        <w:gridCol w:w="5296"/>
      </w:tblGrid>
      <w:tr>
        <w:trPr/>
        <w:tc>
          <w:tcPr>
            <w:tcW w:w="6043" w:type="dxa"/>
            <w:tcBorders/>
            <w:vAlign w:val="center"/>
          </w:tcPr>
          <w:p>
            <w:pPr>
              <w:pStyle w:val="TableHeading"/>
              <w:suppressLineNumbers/>
              <w:shd w:fill="1F3864" w:val="clear"/>
              <w:bidi w:val="0"/>
              <w:spacing w:before="0" w:after="283"/>
              <w:jc w:val="left"/>
              <w:rPr/>
            </w:pPr>
            <w:r>
              <w:rPr/>
              <w:t>Item</w:t>
            </w:r>
          </w:p>
        </w:tc>
        <w:tc>
          <w:tcPr>
            <w:tcW w:w="5296" w:type="dxa"/>
            <w:tcBorders/>
            <w:vAlign w:val="center"/>
          </w:tcPr>
          <w:p>
            <w:pPr>
              <w:pStyle w:val="TableHeading"/>
              <w:suppressLineNumbers/>
              <w:shd w:fill="1F3864" w:val="clear"/>
              <w:bidi w:val="0"/>
              <w:spacing w:before="0" w:after="283"/>
              <w:jc w:val="left"/>
              <w:rPr/>
            </w:pPr>
            <w:r>
              <w:rPr/>
              <w:t>Where It Will Be Resolved</w:t>
            </w:r>
          </w:p>
        </w:tc>
      </w:tr>
      <w:tr>
        <w:trPr/>
        <w:tc>
          <w:tcPr>
            <w:tcW w:w="6043" w:type="dxa"/>
            <w:tcBorders/>
            <w:vAlign w:val="center"/>
          </w:tcPr>
          <w:p>
            <w:pPr>
              <w:pStyle w:val="TableContents"/>
              <w:bidi w:val="0"/>
              <w:spacing w:before="0" w:after="283"/>
              <w:jc w:val="left"/>
              <w:rPr/>
            </w:pPr>
            <w:r>
              <w:rPr/>
              <w:t>Detailed per-service table/column/index design and Kafka event payload schemas</w:t>
            </w:r>
          </w:p>
        </w:tc>
        <w:tc>
          <w:tcPr>
            <w:tcW w:w="5296" w:type="dxa"/>
            <w:tcBorders/>
            <w:vAlign w:val="center"/>
          </w:tcPr>
          <w:p>
            <w:pPr>
              <w:pStyle w:val="TableContents"/>
              <w:bidi w:val="0"/>
              <w:spacing w:before="0" w:after="283"/>
              <w:jc w:val="left"/>
              <w:rPr/>
            </w:pPr>
            <w:r>
              <w:rPr/>
              <w:t>08_Database Design Document; full event contracts in the API Specification document</w:t>
            </w:r>
          </w:p>
        </w:tc>
      </w:tr>
      <w:tr>
        <w:trPr/>
        <w:tc>
          <w:tcPr>
            <w:tcW w:w="6043" w:type="dxa"/>
            <w:tcBorders/>
            <w:vAlign w:val="center"/>
          </w:tcPr>
          <w:p>
            <w:pPr>
              <w:pStyle w:val="TableContents"/>
              <w:bidi w:val="0"/>
              <w:spacing w:before="0" w:after="283"/>
              <w:jc w:val="left"/>
              <w:rPr/>
            </w:pPr>
            <w:r>
              <w:rPr/>
              <w:t>Managed vs self-hosted Kafka, and RDS-per-service vs shared-cluster-with-separate-schemas</w:t>
            </w:r>
          </w:p>
        </w:tc>
        <w:tc>
          <w:tcPr>
            <w:tcW w:w="5296" w:type="dxa"/>
            <w:tcBorders/>
            <w:vAlign w:val="center"/>
          </w:tcPr>
          <w:p>
            <w:pPr>
              <w:pStyle w:val="TableContents"/>
              <w:bidi w:val="0"/>
              <w:spacing w:before="0" w:after="283"/>
              <w:jc w:val="left"/>
              <w:rPr/>
            </w:pPr>
            <w:r>
              <w:rPr/>
              <w:t>Pending vendor quotations, per 01_Project Proposal Section 9.3, now scoped for a microservices deployment (Section 11)</w:t>
            </w:r>
          </w:p>
        </w:tc>
      </w:tr>
      <w:tr>
        <w:trPr/>
        <w:tc>
          <w:tcPr>
            <w:tcW w:w="6043" w:type="dxa"/>
            <w:tcBorders/>
            <w:vAlign w:val="center"/>
          </w:tcPr>
          <w:p>
            <w:pPr>
              <w:pStyle w:val="TableContents"/>
              <w:bidi w:val="0"/>
              <w:spacing w:before="0" w:after="283"/>
              <w:jc w:val="left"/>
              <w:rPr/>
            </w:pPr>
            <w:r>
              <w:rPr/>
              <w:t>Saga/compensating-transaction design for Phase 2's cross-service Procurement workflow</w:t>
            </w:r>
          </w:p>
        </w:tc>
        <w:tc>
          <w:tcPr>
            <w:tcW w:w="5296" w:type="dxa"/>
            <w:tcBorders/>
            <w:vAlign w:val="center"/>
          </w:tcPr>
          <w:p>
            <w:pPr>
              <w:pStyle w:val="TableContents"/>
              <w:bidi w:val="0"/>
              <w:spacing w:before="0" w:after="283"/>
              <w:jc w:val="left"/>
              <w:rPr/>
            </w:pPr>
            <w:r>
              <w:rPr/>
              <w:t>To be addressed when Phase 2 is scoped, flagged here so it is not forgotten (Section 5)</w:t>
            </w:r>
          </w:p>
        </w:tc>
      </w:tr>
      <w:tr>
        <w:trPr/>
        <w:tc>
          <w:tcPr>
            <w:tcW w:w="6043" w:type="dxa"/>
            <w:tcBorders/>
            <w:vAlign w:val="center"/>
          </w:tcPr>
          <w:p>
            <w:pPr>
              <w:pStyle w:val="TableContents"/>
              <w:bidi w:val="0"/>
              <w:spacing w:before="0" w:after="283"/>
              <w:jc w:val="left"/>
              <w:rPr/>
            </w:pPr>
            <w:r>
              <w:rPr/>
              <w:t>Confirmation that the engaged development team has microservices/Kafka/AWS ECS experience</w:t>
            </w:r>
          </w:p>
        </w:tc>
        <w:tc>
          <w:tcPr>
            <w:tcW w:w="5296" w:type="dxa"/>
            <w:tcBorders/>
            <w:vAlign w:val="center"/>
          </w:tcPr>
          <w:p>
            <w:pPr>
              <w:pStyle w:val="TableContents"/>
              <w:bidi w:val="0"/>
              <w:spacing w:before="0" w:after="283"/>
              <w:jc w:val="left"/>
              <w:rPr/>
            </w:pPr>
            <w:r>
              <w:rPr/>
              <w:t>Team selection process (Section 12)</w:t>
            </w:r>
          </w:p>
        </w:tc>
      </w:tr>
      <w:tr>
        <w:trPr/>
        <w:tc>
          <w:tcPr>
            <w:tcW w:w="6043" w:type="dxa"/>
            <w:tcBorders/>
            <w:vAlign w:val="center"/>
          </w:tcPr>
          <w:p>
            <w:pPr>
              <w:pStyle w:val="TableContents"/>
              <w:bidi w:val="0"/>
              <w:spacing w:before="0" w:after="283"/>
              <w:jc w:val="left"/>
              <w:rPr/>
            </w:pPr>
            <w:r>
              <w:rPr/>
              <w:t>Retirement of the procedures document's conflicting "Development Environment" section (ADR-07)</w:t>
            </w:r>
          </w:p>
        </w:tc>
        <w:tc>
          <w:tcPr>
            <w:tcW w:w="5296" w:type="dxa"/>
            <w:tcBorders/>
            <w:vAlign w:val="center"/>
          </w:tcPr>
          <w:p>
            <w:pPr>
              <w:pStyle w:val="TableContents"/>
              <w:bidi w:val="0"/>
              <w:spacing w:before="0" w:after="283"/>
              <w:jc w:val="left"/>
              <w:rPr/>
            </w:pPr>
            <w:r>
              <w:rPr/>
              <w:t>Action for the Group's document owner</w:t>
            </w:r>
          </w:p>
        </w:tc>
      </w:tr>
    </w:tbl>
    <w:p>
      <w:pPr>
        <w:pStyle w:val="Heading2"/>
        <w:bidi w:val="0"/>
        <w:jc w:val="left"/>
        <w:rPr/>
      </w:pPr>
      <w:r>
        <w:rPr/>
        <w:t>15. Approval</w:t>
      </w:r>
    </w:p>
    <w:p>
      <w:pPr>
        <w:pStyle w:val="BodyText"/>
        <w:bidi w:val="0"/>
        <w:jc w:val="left"/>
        <w:rPr/>
      </w:pPr>
      <w:r>
        <w:rPr/>
        <w:t>Submitted for review by the engaged development team/technology partner as the Phase 1 architecture baseline, reflecting the Group's direction to adopt microservices from Phase 1, and for Board awareness of the cost and skills implications this carries relative to the previously recommended phased-adoption approach.</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Prepared by — Signature &amp; Date</w:t>
      </w:r>
    </w:p>
    <w:p>
      <w:pPr>
        <w:pStyle w:val="BodyText"/>
        <w:bidi w:val="0"/>
        <w:spacing w:before="150" w:after="283"/>
        <w:ind w:hanging="0" w:left="0" w:right="0"/>
        <w:jc w:val="left"/>
        <w:rPr>
          <w:b/>
        </w:rPr>
      </w:pPr>
      <w:r>
        <w:rPr>
          <w:b/>
        </w:rPr>
        <w:t>Okurut Mathias</w:t>
      </w:r>
    </w:p>
    <w:p>
      <w:pPr>
        <w:pStyle w:val="BodyText"/>
        <w:bidi w:val="0"/>
        <w:spacing w:before="600" w:after="283"/>
        <w:ind w:hanging="0" w:left="0" w:right="0"/>
        <w:jc w:val="left"/>
        <w:rPr>
          <w:sz w:val="21"/>
          <w:bdr w:val="single" w:sz="2" w:space="3" w:color="333333"/>
        </w:rPr>
      </w:pPr>
      <w:r>
        <w:rPr>
          <w:sz w:val="21"/>
          <w:bdr w:val="single" w:sz="2" w:space="3" w:color="333333"/>
        </w:rPr>
        <w:t>Managing Director — Reviewed/Approved by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Morise Holdings Limited Business Management System scope document (morise.docx — System Architecture section); Multi Holdings Limited Software Development Procedures and Implementation Blueprint; 03_Feasibility Study (Section 3.1, superseded by Section 1 of this document); 04_Software Requirements Specification; 05_Business Process Document; 06_User Stories, Epics and Product Backlog. Detailed per-service database schema is in 08_Database Design Document. </w:t>
      </w:r>
    </w:p>
    <w:p>
      <w:pPr>
        <w:pStyle w:val="Heading1"/>
      </w:pPr>
      <w:r>
        <w:t>16. Implementation Status Update (18 August 2026)</w:t>
      </w:r>
    </w:p>
    <w:p>
      <w:r>
        <w:t>A working proof-of-concept exists for the functionality the Identity Service and Organization Service own (Section 3), but it does not implement this document's architecture (v2.0) — it implements the earlier, superseded v1.0 modular-monolith design that Section 1 explicitly describes as replaced. Specifically, against the ADRs in Section 2:</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02"/>
        <w:gridCol w:w="5102"/>
      </w:tblGrid>
      <w:tr>
        <w:tc>
          <w:tcPr>
            <w:tcW w:type="dxa" w:w="5102"/>
          </w:tcPr>
          <w:p>
            <w:r>
              <w:rPr>
                <w:b/>
              </w:rPr>
              <w:t>ADR</w:t>
            </w:r>
          </w:p>
        </w:tc>
        <w:tc>
          <w:tcPr>
            <w:tcW w:type="dxa" w:w="5102"/>
          </w:tcPr>
          <w:p>
            <w:r>
              <w:rPr>
                <w:b/>
              </w:rPr>
              <w:t>Status in the proof-of-concept</w:t>
            </w:r>
          </w:p>
        </w:tc>
      </w:tr>
      <w:tr>
        <w:tc>
          <w:tcPr>
            <w:tcW w:type="dxa" w:w="5102"/>
          </w:tcPr>
          <w:p>
            <w:r>
              <w:t>ADR-01 (stack)</w:t>
            </w:r>
          </w:p>
        </w:tc>
        <w:tc>
          <w:tcPr>
            <w:tcW w:type="dxa" w:w="5102"/>
          </w:tcPr>
          <w:p>
            <w:r>
              <w:t>Followed — Node.js, NestJS, Fastify, PostgreSQL, Prisma</w:t>
            </w:r>
          </w:p>
        </w:tc>
      </w:tr>
      <w:tr>
        <w:tc>
          <w:tcPr>
            <w:tcW w:type="dxa" w:w="5102"/>
          </w:tcPr>
          <w:p>
            <w:r>
              <w:t>ADR-02 (independent microservices)</w:t>
            </w:r>
          </w:p>
        </w:tc>
        <w:tc>
          <w:tcPr>
            <w:tcW w:type="dxa" w:w="5102"/>
          </w:tcPr>
          <w:p>
            <w:r>
              <w:t>Not followed — single NestJS application, two modules (Identity, Organization)</w:t>
            </w:r>
          </w:p>
        </w:tc>
      </w:tr>
      <w:tr>
        <w:tc>
          <w:tcPr>
            <w:tcW w:type="dxa" w:w="5102"/>
          </w:tcPr>
          <w:p>
            <w:r>
              <w:t>ADR-03 (Kafka + observability from Phase 1)</w:t>
            </w:r>
          </w:p>
        </w:tc>
        <w:tc>
          <w:tcPr>
            <w:tcW w:type="dxa" w:w="5102"/>
          </w:tcPr>
          <w:p>
            <w:r>
              <w:t>Not followed — no Kafka, no Prometheus/Grafana, no Jaeger, no EFK</w:t>
            </w:r>
          </w:p>
        </w:tc>
      </w:tr>
      <w:tr>
        <w:tc>
          <w:tcPr>
            <w:tcW w:type="dxa" w:w="5102"/>
          </w:tcPr>
          <w:p>
            <w:r>
              <w:t>ADR-04 (database-per-service)</w:t>
            </w:r>
          </w:p>
        </w:tc>
        <w:tc>
          <w:tcPr>
            <w:tcW w:type="dxa" w:w="5102"/>
          </w:tcPr>
          <w:p>
            <w:r>
              <w:t>Not followed — one PostgreSQL database for both modules (real foreign keys used only within each module's own tables, consistent with the within-service constraints 08_Database Design Document defines)</w:t>
            </w:r>
          </w:p>
        </w:tc>
      </w:tr>
      <w:tr>
        <w:tc>
          <w:tcPr>
            <w:tcW w:type="dxa" w:w="5102"/>
          </w:tcPr>
          <w:p>
            <w:r>
              <w:t>ADR-05 (ECS/Fargate per service)</w:t>
            </w:r>
          </w:p>
        </w:tc>
        <w:tc>
          <w:tcPr>
            <w:tcW w:type="dxa" w:w="5102"/>
          </w:tcPr>
          <w:p>
            <w:r>
              <w:t>Not applicable — runs as a single local process, no container orchestration</w:t>
            </w:r>
          </w:p>
        </w:tc>
      </w:tr>
      <w:tr>
        <w:tc>
          <w:tcPr>
            <w:tcW w:type="dxa" w:w="5102"/>
          </w:tcPr>
          <w:p>
            <w:r>
              <w:t>ADR-06 (JWT + refresh, API Gateway-validated)</w:t>
            </w:r>
          </w:p>
        </w:tc>
        <w:tc>
          <w:tcPr>
            <w:tcW w:type="dxa" w:w="5102"/>
          </w:tcPr>
          <w:p>
            <w:r>
              <w:t>Partially followed — JWT + refresh implemented; validated in-process since no Gateway exists</w:t>
            </w:r>
          </w:p>
        </w:tc>
      </w:tr>
      <w:tr>
        <w:tc>
          <w:tcPr>
            <w:tcW w:type="dxa" w:w="5102"/>
          </w:tcPr>
          <w:p>
            <w:r>
              <w:t>ADR-08 (Reporting Service via Kafka read models)</w:t>
            </w:r>
          </w:p>
        </w:tc>
        <w:tc>
          <w:tcPr>
            <w:tcW w:type="dxa" w:w="5102"/>
          </w:tcPr>
          <w:p>
            <w:r>
              <w:t>Not followed — no Reporting Service, no read models</w:t>
            </w:r>
          </w:p>
        </w:tc>
      </w:tr>
    </w:tbl>
    <w:p/>
    <w:p>
      <w:r>
        <w:t>Section 6's multi-company scoping design (BR-01) is implemented and verified — each request is checked against the caller's user_scopes, exactly as this section specifies, just without the API Gateway's separate coarse-grained check layered in front of it. Section 7's authentication/authorization design is implemented in-process rather than split across a Gateway and independent services.</w:t>
      </w:r>
    </w:p>
    <w:p>
      <w:r>
        <w:t>Converting this into a conforming implementation of this document requires, at minimum: an API Gateway, Kafka and the Section 9 domain events, splitting Identity and Organization into physically independent services with their own databases, and the Section 8 observability stack — all unstarted. Code lives in mbms/, alongside this documentation set (docx/) and the Administrator/Customer mockups (screenshots/). See mbms/README.md for exact run instructions and seeded demo credentials.</w:t>
      </w:r>
    </w:p>
    <w:p>
      <w:pPr>
        <w:pStyle w:val="Heading1"/>
      </w:pPr>
      <w:r>
        <w:t>17. Implementation Status Update 2 (18 August 2026)</w:t>
      </w:r>
    </w:p>
    <w:p>
      <w:r>
        <w:t>Employee Service and Accounting Service functionality (Section 3's service table) now has working code, and the Dashboard's group/accounting-summary/subsidiary endpoints (normally the Audit &amp; Reporting Service's responsibility) are served directly by the same application via plain database queries — there is still no Audit &amp; Reporting Service, no Kafka, and therefore no domain events (Section 9) flowing anywhere. FR-DASH-04's recent-activity widget and the entire System Audit Trail (EPIC-10) depend specifically on that missing piece, not just on more application code, and remain blocked until it exists.</w:t>
      </w:r>
    </w:p>
    <w:p>
      <w:r>
        <w:t>Section 6's multi-company scoping design is now exercised by two more services (Employee, Accounting), each independently re-implementing the same user_scopes-based check described there — a genuine argument for extracting a shared scoping library once real service boundaries are drawn, noted here as an observation from the code, not a plan.</w:t>
      </w:r>
    </w:p>
    <w:p>
      <w:r>
        <w:t>Architecture note, unchanged from the previous update: this remains the superseded v1.0 modular-monolith approach — one NestJS application, one PostgreSQL database, no API Gateway, no Kafka, no per-service databases, no observability stack — not the microservices architecture 07_System Design Document (v2.0) records as the Group's actual direction. Employees and Accounting were added as two more modules of that same application, not as new independent services. See mbms/README.md for exact run instructions and seeded demo credentials.</w:t>
      </w:r>
    </w:p>
    <w:p>
      <w:pPr>
        <w:pStyle w:val="Heading1"/>
      </w:pPr>
      <w:r>
        <w:t>18. Implementation Status Update 3 (18 August 2026)</w:t>
      </w:r>
    </w:p>
    <w:p>
      <w:r>
        <w:t>Customer Service and Supplier Service functionality (Section 3's service table) now has working code, built the same way as Employee/Accounting: a module of the single application, with the same user_scopes-based check independently re-implemented a third and fourth time. This continues to strengthen the case, noted in the previous update, for extracting that scoping logic into a shared library before any real service split happens — four independent re-implementations of the same check is a maintainability signal worth acting on even within this monolith, not only after decomposition.</w:t>
      </w:r>
    </w:p>
    <w:p>
      <w:r>
        <w:t>Architecture note, unchanged from the previous two updates: Customers and Suppliers were added as two more modules of the same single NestJS application — still not the microservices architecture 07_System Design Document (v2.0) records as the Group's actual direction. See mbms/README.md for exact run instructions and seeded demo credentials.</w:t>
      </w:r>
    </w:p>
    <w:p>
      <w:pPr>
        <w:pStyle w:val="Heading1"/>
      </w:pPr>
      <w:r>
        <w:t>19. Implementation Status Update 4 (18 August 2026)</w:t>
      </w:r>
    </w:p>
    <w:p>
      <w:r>
        <w:t>Product Service functionality (Section 3's service table) now has working code — the same user_scopes-based check independently re-implemented a fifth time. Every Section 3 service except Audit &amp; Reporting now has at least partial code, all still running as modules of one application rather than the independent services this document specifies. Architecture note, unchanged since the first update: Products was added as one more module of the same single NestJS application — still not the microservices architecture 07_System Design Document (v2.0) records as the Group's actual direction. See mbms/README.md for exact run instructions and seeded demo credentials.</w:t>
      </w:r>
    </w:p>
    <w:p>
      <w:pPr>
        <w:pStyle w:val="Heading1"/>
      </w:pPr>
      <w:r>
        <w:t>20. Implementation Status Update 5 (18 August 2026) — Phase 1 Services Functionally Complete</w:t>
      </w:r>
    </w:p>
    <w:p>
      <w:r>
        <w:t>The Audit &amp; Reporting Service's audit-trail responsibility (Section 3's service table) now has working code — the last of the eight Section 3 services to get any implementation. Its Dashboard-read-model half (Section 3, "dashboard read-model tables") was already partially covered by the Dashboard module from an earlier update; this update closes the audit_logs half specifically.</w:t>
      </w:r>
    </w:p>
    <w:p>
      <w:r>
        <w:t>Section 9's Kafka domain events remain entirely unimplemented as actual Kafka topics — every event type this document's Section 9 table names (organization.company.*, identity.user.*, employee.record.*, customer.record.*, supplier.record.*, product.record.*, accounting.journal_entry.posted, *.access.denied) does now exist as an in-process AuditService call using the same eventType string, which is the most direct win from having deferred Kafka rather than skipping the audit trail entirely: migrating each call site to a real Kafka producer later is a mechanical swap of the AuditService implementation, not a redesign of every call site.</w:t>
      </w:r>
    </w:p>
    <w:p>
      <w:r>
        <w:t>Architecture note, unchanged since the first update: the Audit Trail was built as a shared, in-process AuditService every module calls directly and synchronously — not the Kafka-consuming Audit &amp; Reporting Service 07_System Design Document (v2.0) specifies. Functionally equivalent (the same event data lands in the same table shape), but a synchronous in-process call standing in for what should be an async publish/consume pair across independently deployable services. See mbms/README.md for exact run instructions and seeded demo credentials.</w:t>
      </w:r>
    </w:p>
    <w:p>
      <w:pPr>
        <w:pStyle w:val="Heading1"/>
      </w:pPr>
      <w:r>
        <w:t>21. Implementation Status Update 6 (18 August 2026) — Identity Service Corrected</w:t>
      </w:r>
    </w:p>
    <w:p>
      <w:r>
        <w:t>The Identity Service's data model (Section 4) gains one table this update: user_permissions, a direct user-to-permission join distinct from the existing user_roles join, needed for FR-USER-06's permission-assignment half which had no table to back it before this update. No change to the service boundary itself or to Section 3's service table — this is a within-service correction, not new scope.</w:t>
      </w:r>
    </w:p>
    <w:p>
      <w:r>
        <w:t>Three gaps were found and fixed: FR-AUTH-04's password policy was checked in as a hardcoded 8-character minimum with no complexity rule and nothing configurable about it; FR-USER-04's scope assignment had company and branch but not department; FR-USER-06's 'assign ... specific permissions to a user' half was never built — only role assignment existed, with no way to grant one permission directly to a user without creating or editing a role. All three are now implemented and re-verified end-to-end, including a role-less test user who was granted only a direct permission and successfully exercised exactly the one endpoint that permission gates. See mbms/README.md, "Sprint 1 verification pass", for the full detail and verification method.</w:t>
      </w:r>
    </w:p>
    <w:p>
      <w:pPr>
        <w:pStyle w:val="Heading1"/>
      </w:pPr>
      <w:r>
        <w:t>22. Implementation Status Update 7 (18 August 2026) — Organization Service Corrected</w:t>
      </w:r>
    </w:p>
    <w:p>
      <w:r>
        <w:t>The Organization Service's company table gains two columns this update (relationship_type, ownership_percent) closing gaps against FR-COMP-03/05; logoUrl becomes settable via the API for the first time, closing part of FR-COMP-06. No change to the service boundary or Section 3's service table — within-service corrections, matching the same pattern as the Identity Service corrections in the previous update.</w:t>
      </w:r>
    </w:p>
    <w:p>
      <w:r>
        <w:t>Three requirement gaps were found and fixed: FR-COMP-03 had no way to distinguish a subsidiary from an associate/affiliate — every non-root company was created the same way; FR-COMP-05 had the parent/subsidiary link but no ownership percentage; FR-COMP-06's logoUrl column existed in the schema but neither create nor update DTO exposed it, so it was silently unsettable via the API. A fourth, non-requirement gap was also found and fixed: no seeded demo user held the permission needed to create or edit a company at all, and the frontend's create buttons were separately gated by a hardcoded role check matching nobody either — so this whole area was previously unreachable through the demo even though the underlying code mostly worked. See mbms/README.md, "Sprint 2 verification pass", for the full detail and verification method.</w:t>
      </w:r>
    </w:p>
    <w:p>
      <w:pPr>
        <w:pStyle w:val="Heading1"/>
      </w:pPr>
      <w:r>
        <w:t>23. Implementation Status Update 8 (18 August 2026) — Employee Service Corrected</w:t>
      </w:r>
    </w:p>
    <w:p>
      <w:r>
        <w:t>The Employee Service's employees table gains two columns (job_description, qualifications) closing gaps against FR-EMP-02/03. No change to the service boundary or Section 3's service table — a within-service correction, matching the pattern of the two previous corrections (Identity, Organization).</w:t>
      </w:r>
    </w:p>
    <w:p>
      <w:r>
        <w:t>Two requirement gaps were found and fixed: FR-EMP-02 had contract type and start/end dates but no job description field; FR-EMP-03 (qualifications/skills/certifications) had no field at all — already flagged "Not started" in an earlier update and unchanged until this pass. A third, larger gap was also found and fixed: the Employees create form only ever exposed six of the roughly seventeen fields the API accepts — national ID, contract type, next of kin, emergency contact and bank/tax fields all existed correctly in the schema and API (and were correctly masked on read) but had no way to be entered through the UI at all, the same class of gap as Sprint 2's demo-reachability issue. See mbms/README.md, "Sprint 3 verification pass", for the full detail and verification method.</w:t>
      </w:r>
    </w:p>
    <w:p>
      <w:pPr>
        <w:pStyle w:val="Heading1"/>
      </w:pPr>
      <w:r>
        <w:t>24. Implementation Status Update 9 (18 August 2026) — Customer/Supplier Services Corrected</w:t>
      </w:r>
    </w:p>
    <w:p>
      <w:r>
        <w:t>The Supplier Service's suppliers table gains two columns (contract_reference, contract_expiry_date) closing part of the FR-SUPP-02 gap. No change to either service's boundary or Section 3's service table — within-service corrections, matching the pattern of the three previous corrections.</w:t>
      </w:r>
    </w:p>
    <w:p>
      <w:r>
        <w:t>One requirement gap was found and fixed: FR-SUPP-02 had tax ID and bank details but nothing for contracts at all — a contractReference and contractExpiryDate field were added. A second issue, an audit gap, was also fixed: supplier update never called AuditService, unlike create/blacklist/unblacklist. A third issue, the same UI-completeness class of gap found in Sprint 3, was fixed for both services: the Suppliers create form only exposed 4 of the roughly 10 fields the API accepts (missing contact email/phone, address, bank details), and the Customers create form only exposed 4 of 6 (missing email and address) — all now collectable through the UI. See mbms/README.md, "Sprint 4 verification pass", for the full detail and verification method.</w:t>
      </w:r>
    </w:p>
    <w:p>
      <w:pPr>
        <w:pStyle w:val="Heading1"/>
      </w:pPr>
      <w:r>
        <w:t>25. Implementation Status Update 10 (18 August 2026) — Product Service Corrected</w:t>
      </w:r>
    </w:p>
    <w:p>
      <w:r>
        <w:t>The Product Service's products table gains one column (product_type) closing the FR-PROD-01 gap. No change to the service boundary or Section 3's service table — a within-service correction, matching the pattern of the four previous corrections.</w:t>
      </w:r>
    </w:p>
    <w:p>
      <w:r>
        <w:t>Scope note: the request that opened this sprint also named "warehouses," but 04_Software Requirements Specification, Section 4.8's own text explicitly defers stock locations, warehouses, stock movements and inventory valuation to Phase 2 — the same boundary already held for every other Phase 2+ feature throughout this project. Asked how to handle the mismatch, the choice was to keep this pass scoped to Products/Categories only, consistent with that boundary — no warehouse or stock-location code was added. See mbms/README.md, "Sprint 5 verification pass", for the full detail and verification method.</w:t>
      </w:r>
    </w:p>
    <w:p>
      <w:pPr>
        <w:pStyle w:val="Heading1"/>
      </w:pPr>
      <w:r>
        <w:t>26. Implementation Status Update 11 (18 August 2026) — Accounting/Dashboard Services Corrected</w:t>
      </w:r>
    </w:p>
    <w:p>
      <w:r>
        <w:t>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w:t>
      </w:r>
    </w:p>
    <w:p>
      <w:r>
        <w:t>The Accounting Service gains one new read endpoint (general ledger) and the Dashboard module's subsidiary-scoped endpoint gains one new field (accounting summary) — no change to either service's boundary or Section 3's service table. Within-service corrections, matching the pattern of the five previous corrections.</w:t>
      </w:r>
    </w:p>
    <w:p>
      <w:r>
        <w:t>See mbms/README.md, "Sprint 6 verification pass", for the full detail and verification method.</w:t>
      </w:r>
    </w:p>
    <w:p>
      <w:pPr>
        <w:pStyle w:val="Heading1"/>
      </w:pPr>
      <w:r>
        <w:t>27. Implementation Status Update 12 (18 August 2026) — Contract/System Testing Inapplicable</w:t>
      </w:r>
    </w:p>
    <w:p>
      <w:r>
        <w:t>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w:t>
      </w:r>
    </w:p>
    <w:p>
      <w:r>
        <w:t>Section 3.3's contract-testing requirement (each service's published event schema tested against 09_API Specification, Section 11, plus the Audit &amp; Reporting Service's consumption of each) cannot be performed as specified — there are no independent services publishing Kafka events to test contracts between, only one shared AuditService call per mutation. This is the architecture gap stated everywhere else in this document set, not a new finding, but Sprint 7 is where 10_Test Plan specifically calls for this test level, so it is recorded here explicitly as inapplicable rather than silently skipped.</w:t>
      </w:r>
    </w:p>
    <w:p>
      <w:r>
        <w:t>See mbms/README.md, "Sprint 7: security testing pass", for the full detail and verification method.</w:t>
      </w:r>
    </w:p>
    <w:p>
      <w:pPr>
        <w:pStyle w:val="Heading1"/>
      </w:pPr>
      <w:r>
        <w:t>28. Implementation Status Update 13 (18 August 2026) — Four Services Corrected</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w:t>
      </w:r>
    </w:p>
    <w:p>
      <w:r>
        <w:t>Employee, Customer, Supplier and Product Service list endpoints all receive the same scope-validation fix. No change to any service boundary or Section 3's service table — a within-service correction repeated identically across four services that shared a copy-pasted pattern.</w:t>
      </w:r>
    </w:p>
    <w:p>
      <w:r>
        <w:t>See mbms/README.md, "Sprint 8: performance, Alpha and UAT pass", for the full detail and verification method.</w:t>
      </w:r>
    </w:p>
    <w:p>
      <w:pPr>
        <w:pStyle w:val="Heading1"/>
      </w:pPr>
      <w:r>
        <w:t>29. Implementation Status Update 14 (18 August 2026) — Expense Service Added</w:t>
      </w:r>
    </w:p>
    <w:p>
      <w:r>
        <w:t>Scope note: same as 17_Development Plan's identical update — Phase 1 (Sprints 0–8) was already complete, so this sprint's “Expenses” request needed no redirect, unlike Sprints 6–8.</w:t>
      </w:r>
    </w:p>
    <w:p>
      <w:r>
        <w:t>An Expense Service was added as one more module of the same single NestJS application described in every earlier update — not a new independently deployable service, the same superseded-monolith gap this document has flagged against the Group's approved microservices architecture (Section 1, ADR-02/03/04/05) since the first update. It reuses the Accounting module's Account/FinancialPeriod tables directly (a same-process function call, not a Kafka event) to post payment journal entries — an even tighter coupling between “services” than the rest of this monolith already has, worth flagging explicitly: a true independent Expense Service would need to either own its own ledger-posting logic or call Accounting through a real API/event, not a direct Prisma read across another service's tables.</w:t>
      </w:r>
    </w:p>
    <w:p>
      <w:r>
        <w:t>See mbms/README.md, “Sprint 9”, for the full detail and verification method.</w:t>
      </w:r>
    </w:p>
    <w:p>
      <w:pPr>
        <w:pStyle w:val="Heading1"/>
      </w:pPr>
      <w:r>
        <w:t>30. Implementation Status Update 15 (18 August 2026) — Recurring Entries and Report Endpoints Added</w:t>
      </w:r>
    </w:p>
    <w:p>
      <w:r>
        <w:t>Scope note: same discovery as 17_Development Plan's identical update — this sprint's request matches Multi_Holdings_Limited_Software_Development_Procedures.docx's own Sprint 10, not a mismatch requiring redirect this time.</w:t>
      </w:r>
    </w:p>
    <w:p>
      <w:r>
        <w:t>The Accounting module (already the superseded single-NestJS-application monolith every earlier update describes) gained a recurring-entries sub-module and two new report endpoints, all within the same module — no new service boundary was introduced. The consolidated report endpoints add a new cross-cutting query: Accounting now reads Organization's companies table directly (to walk the parent/subsidiary hierarchy) inside the same process, the same class of tight in-monolith coupling already flagged for Expenses reading Accounting's tables in the Sprint 9 update — under the approved microservices architecture this would need a real API call or event to the Organization Service instead of a direct database read.</w:t>
      </w:r>
    </w:p>
    <w:p>
      <w:r>
        <w:t>See mbms/README.md, “Sprint 10”, for the full detail and verification method.</w:t>
      </w:r>
    </w:p>
    <w:p>
      <w:pPr>
        <w:pStyle w:val="Heading1"/>
      </w:pPr>
      <w:r>
        <w:t>31. Implementation Status Update 16 (18 August 2026) — Asset Service Added</w:t>
      </w:r>
    </w:p>
    <w:p>
      <w:r>
        <w:t>Scope note: matches Multi_Holdings_Limited_Software_Development_Procedures.docx's own Sprint 11 directly.</w:t>
      </w:r>
    </w:p>
    <w:p>
      <w:r>
        <w:t>An Asset Service was added as one more module of the same single NestJS application every earlier update describes. Like Expenses (Sprint 9) and the consolidated Accounting reports (Sprint 10), it posts directly into Accounting's JournalEntry/JournalEntryItem tables via a same-process Prisma call — the same tight in-monolith coupling already flagged, not a real API/event call to a separate service.</w:t>
      </w:r>
    </w:p>
    <w:p>
      <w:r>
        <w:t>See mbms/README.md, “Sprint 11”, for the full detail and verification method.</w:t>
      </w:r>
    </w:p>
    <w:p>
      <w:pPr>
        <w:pStyle w:val="Heading1"/>
      </w:pPr>
      <w:r>
        <w:t>32. Implementation Status Update 17 (18 August 2026) — Project Service Added</w:t>
      </w:r>
    </w:p>
    <w:p>
      <w:r>
        <w:t>Scope note: matches Multi_Holdings_Limited_Software_Development_Procedures.docx's own Sprint 12 directly.</w:t>
      </w:r>
    </w:p>
    <w:p>
      <w:r>
        <w:t>A Project Service was added as one more module of the same single NestJS application every earlier update describes. Its profitability calculation reads Expense records directly via Prisma — the same tight in-monolith coupling already flagged for Expenses→Accounting (Sprint 9) and Assets→Accounting (Sprint 11), not a real API/event call to a separate service.</w:t>
      </w:r>
    </w:p>
    <w:p>
      <w:r>
        <w:t>See mbms/README.md, “Sprint 12”, for the full detail and verification method.</w:t>
      </w:r>
    </w:p>
    <w:p>
      <w:pPr>
        <w:pStyle w:val="Heading1"/>
      </w:pPr>
      <w:r>
        <w:t>33. Implementation Status Update 18 (18 August 2026) — Reports Service Added</w:t>
      </w:r>
    </w:p>
    <w:p>
      <w:r>
        <w:t>Scope note: matches Multi_Holdings_Limited_Software_Development_Procedures.docx's own Sprint 13 directly.</w:t>
      </w:r>
    </w:p>
    <w:p>
      <w:r>
        <w:t>A Reports module was added as one more module of the same single NestJS application every earlier update describes — it reads across five other modules' tables directly via Prisma (companies/branches, employees, customers, suppliers, accounts/journal entries, audit logs), the widest cross-module read of any module built so far, the same tight in-monolith coupling already flagged repeatedly (Expenses/Assets/Projects → Accounting). Under the approved microservices architecture this would need a real API Gateway aggregation layer or a dedicated read-model, not direct table access across service boundaries.</w:t>
      </w:r>
    </w:p>
    <w:p>
      <w:r>
        <w:t>See mbms/README.md, “Sprint 13”, for the full detail and verification method.</w:t>
      </w:r>
    </w:p>
    <w:p>
      <w:pPr>
        <w:pStyle w:val="Heading1"/>
      </w:pPr>
      <w:r>
        <w:t>34. Implementation Status Update 19 (18 August 2026) — Notifications Service Added</w:t>
      </w:r>
    </w:p>
    <w:p>
      <w:r>
        <w:t>Scope note: matches Multi_Holdings_Limited_Software_Development_Procedures.docx's own Sprint 14 directly — the last row in that document's sprint table.</w:t>
      </w:r>
    </w:p>
    <w:p>
      <w:r>
        <w:t>A Notifications module was added, following the same @Global()-service pattern AuditService already established — a shared, in-process, synchronous “publish” call every triggering service invokes directly, not a real Kafka producer/consumer pair. Its cross-cutting user-resolution query (findUsersWithPermissionInCompany) reads across Identity's own role/permission/scope tables from outside that service's own module boundary, the same tight in-monolith coupling already flagged repeatedly this project (Expenses/Assets/Projects → Accounting, Reports → five modules at once).</w:t>
      </w:r>
    </w:p>
    <w:p>
      <w:r>
        <w:t>See mbms/README.md, “Sprint 14”, for the full detail and verification method.</w:t>
      </w:r>
    </w:p>
    <w:p>
      <w:pPr>
        <w:pStyle w:val="Heading1"/>
      </w:pPr>
      <w:r>
        <w:t>35. Implementation Status Update 20 (19 August 2026) — Policies and Inter-Company Transactions Added to Organization Service</w:t>
      </w:r>
    </w:p>
    <w:p>
      <w:r>
        <w:t>Scope note: requested directly against morise.docx, Section 2 — no new service added, all four new pieces (policies, inter-company transactions, cross-company asset transfer, consolidated comparison report) extend the existing Organization, Assets and Reports services/modules of this monolith.</w:t>
      </w:r>
    </w:p>
    <w:p>
      <w:r>
        <w:t>Inter-company transactions are the tightest new cross-module coupling added since Expenses' pay() call into Accounting (Sprint 9): InterCompanyTransactionsService.post() opens a single Prisma transaction and writes two full JournalEntry graphs directly, one per company, rather than calling each company's own Accounting boundary independently — correct for one shared database, but a genuine independent Organization Service under the approved microservices architecture (ADR-02/03/04/05) would need to coordinate this as two separate calls with compensating-transaction handling instead of one atomic write.</w:t>
      </w:r>
    </w:p>
    <w:p>
      <w:r>
        <w:t>See mbms/README.md, “Company and Holdings Management,” for the full detail and verification method.</w:t>
      </w:r>
    </w:p>
    <w:p>
      <w:pPr>
        <w:pStyle w:val="Heading1"/>
      </w:pPr>
      <w:r>
        <w:t>36. Implementation Status Update 21 (19 August 2026) — Dashboard Service Deepened</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Three new methods/endpoints were added to the existing DashboardService/DashboardController (financials, charts, alerts), plus new blocks in the existing summary() and companyDashboard() methods. Following this file's own already-documented pattern (dashboard.service.ts duplicates a mini trial-balance calculation rather than importing accounting/reports/reports.controller.ts's private helpers, since that controller does not export a reusable service), the new balance-sheet-snapshot and monthly-chart-bucketing logic is duplicated here too, not shared — consistent with, not a deviation from, this module's existing design.</w:t>
      </w:r>
    </w:p>
    <w:p>
      <w:r>
        <w:t>A real bug was found and fixed during verification, not before it: the first cut of the new balance-position calculation omitted the synthetic "Net Income (Current Period, Unposted)" equity line the existing Balance Sheet report already adds (this system has no period-close/retained-earnings-rollover process), which understated total equity by exactly each company's net profit and caused a false "balance sheet does not balance" alert to fire for every company with posted revenue/expense activity. Fixed by including the same synthetic line; re-verified afterward with the balance sheet correctly balancing to zero and the false alert gone.</w:t>
      </w:r>
    </w:p>
    <w:p>
      <w:r>
        <w:t>See mbms/README.md, "Dashboard Deepening — Holding Company &amp; Subsidiary KPI Set", for the full detail and verification method.</w:t>
      </w:r>
    </w:p>
    <w:p>
      <w:pPr>
        <w:pStyle w:val="Heading1"/>
      </w:pPr>
      <w:r>
        <w:t>37. Implementation Status Update 22 (19 August 2026) — RBAC Completion, No New Service</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No new service or module — this pass deepened the existing Identity Service's role/permission seed data and added one new method/endpoint (changePassword) to the existing UsersService/UsersController, following the same guard/permission pattern every other endpoint in this service already uses.</w:t>
      </w:r>
    </w:p>
    <w:p>
      <w:r>
        <w:t>See mbms/README.md, "RBAC Completion — Full Role Catalogue Permissioned, Self-Service Password Change Added", for the full detail and verification method.</w:t>
      </w:r>
    </w:p>
    <w:p>
      <w:pPr>
        <w:pStyle w:val="Heading1"/>
      </w:pPr>
      <w:r>
        <w:t>38. Implementation Status Update 23 (19 August 2026) — HR Module Deepening</w:t>
      </w:r>
    </w:p>
    <w:p>
      <w:r>
        <w:t>Scope note: this update was requested directly against a full HR feature list — Employee Management, Recruitment, Attendance, Leave Management and Performance Management — opening with "The HR module should manage employees across all companies," not a numbered sprint or either pass earlier the same day.</w:t>
      </w:r>
    </w:p>
    <w:p>
      <w:r>
        <w:t>Built: Employee Management was re-verified (one gap closed — a real employment-history table, plus a document-reference field). Four entirely new modules were built: Recruitment (vacancy approval workflow through application/interview/offer, ending in onboarding into a real employee record), Attendance (self-service clock-in/out against an assigned shift, or HR-recorded for employees without a login), Leave (five leave types, balance-checked approval), and Performance (review cycles, objectives/KPIs, self- and manager-assessment). Migration: hr_module_recruitment_attendance_leave_performance (eleven new tables, two new employees columns). Ten new permissions; no existing permission was changed.</w:t>
      </w:r>
    </w:p>
    <w:p>
      <w:r>
        <w:t>Two real gaps were found and fixed during this pass: a self-service scope-gating bug in Performance (an ordinary employee reading or submitting their own review could be incorrectly blocked, since the original code path required company-wide scope even for pure self-access), and a demo-reachability gap where the HR Manager persona's single-company scope meant no seeded user could reach three of the four new modules' management actions for one subsidiary at all.</w:t>
      </w:r>
    </w:p>
    <w:p>
      <w:r>
        <w:t>See mbms/README.md, "HR Module Deepening — Recruitment, Attendance, Leave, Performance", for the full detail and verification method.</w:t>
      </w:r>
    </w:p>
    <w:p>
      <w:pPr>
        <w:pStyle w:val="Heading1"/>
      </w:pPr>
      <w:r>
        <w:t>39. Implementation Status Update 24 (19 August 2026) — Customer Storefront Architecture Added</w:t>
      </w:r>
    </w:p>
    <w:p>
      <w:r>
        <w:t>Scope note: requested directly against three related asks handled in one session — build the customer storefront, make it responsive, and add a public landing page with a disclaimer — not a numbered sprint.</w:t>
      </w:r>
    </w:p>
    <w:p>
      <w:r>
        <w:t>Built: a second Passport JWT strategy ("customer-jwt", its own secret, its own refresh-token table) runs alongside the existing staff "jwt" strategy in the same NestJS process — a deliberately separate principal (Customer, not User) rather than an extension of the existing RBAC model, since a customer has no roles/permissions and needs none. Three new backend module groups: sales/ (Orders, Invoices, Payments — one shared service layer consumed by both a staff controller and a customer-portal controller, the same one-service-two-controllers shape src/notifications/ already established), support/ (Support Tickets, same shape), and customer-portal/ (the thin per-resource controllers that wrap them for the customer side, plus catalog/ and account/). A second, fully independent Vite/React frontend, mbms/storefront/, runs on its own dev port against the same backend, with its own token namespace in localStorage so a staff and a customer session coexist in one browser without collision. No new infrastructure (database, queue, cache) was introduced — everything runs inside the same single-database monolith this document's own Section 1 already scoped Phase 1 into.</w:t>
      </w:r>
    </w:p>
    <w:p>
      <w:r>
        <w:t>See mbms/README.md, "Sprint 16: Customer Storefront", "Storefront responsiveness pass" and "Landing page and disclaimer added", for the full detail and verification method.</w:t>
      </w:r>
    </w:p>
    <w:p>
      <w:pPr>
        <w:pStyle w:val="Heading1"/>
      </w:pPr>
      <w:r>
        <w:t>40. Implementation Status Update 25 (19 August 2026) — Financial Module Deepening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41. 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Design impact is limited to the front-end presentation tier: the admin shell's navigation model changes from a flat array to a grouped NAV_GROUPS structure with a collapsible category component, plus a shared placeholder screen and placeholder routes. No service decomposition, inter-service contract, data scoping, or deployment-architecture change.</w:t>
      </w:r>
    </w:p>
    <w:p>
      <w:pPr>
        <w:pStyle w:val="Heading1"/>
      </w:pPr>
      <w:r>
        <w:t>42. 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Design: a DelegationService in the Identity Service holds DELEGATION_RULES (grantor role -&gt; allowed domains + group/own-scope) and is called by the users service on every add/remove of a role or permission. Permission gains a `domain` attribute. The existing PermissionsGuard is unchanged; the grant endpoints now accept identity.user.manage OR identity.user.delegate and the bounded check is applied in the service. No new service, no inter-service contract change.</w:t>
      </w:r>
    </w:p>
    <w:p>
      <w:pPr>
        <w:pStyle w:val="Heading1"/>
      </w:pPr>
      <w:r>
        <w:t>43. 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Design: the login / refresh / users-me responses gain a `permissions` array (effective role + direct codes, the set jwt.strategy already computes). The front end adds capabilities.js (ROUTE_CAPABILITIES map + canSeeRoute / canSeeCurrentPath), Layout.jsx filters NAV_GROUPS through it, and RequireAuth redirects on a disallowed path. No back-end authorization logic changes; the guard remains the enforcement point.</w:t>
      </w:r>
    </w:p>
    <w:p>
      <w:pPr>
        <w:pStyle w:val="Heading1"/>
      </w:pPr>
      <w:r>
        <w:t>44. 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Design: a front-end-only i18n layer in the storefront — an I18nProvider/useT context over a per-language key-to-string catalogue (locales/index.js) with English as the fallback table, plus a LanguageSwitcher component. No service, schema or contract change; the API is untouched.</w:t>
      </w:r>
    </w:p>
    <w:p>
      <w:pPr>
        <w:pStyle w:val="Heading1"/>
      </w:pPr>
      <w:r>
        <w:t>45. 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Design: LANGUAGE_LIST is extended and gains an optional dir marker + dirForLang(); the i18n provider sets document dir alongside lang; six more key-string tables are added to LOCALES. No component redesign — the switcher and pages were already generic. No service, schema or contract change.</w:t>
      </w:r>
    </w:p>
    <w:p>
      <w:pPr>
        <w:pStyle w:val="Heading1"/>
      </w:pPr>
      <w:r>
        <w:t>46. 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Design: the locale catalogue is split into en.js / eu.js / regional.js and assembled in index.js; i18n.jsx adds tStatus() and tPriority() enum translators with a humaniser fallback. All page components are refactored to render through the translator. No service, schema or API-contract change.</w:t>
      </w:r>
    </w:p>
    <w:p>
      <w:pPr>
        <w:pStyle w:val="Heading1"/>
      </w:pPr>
      <w:r>
        <w:t>47. 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Design: a @Global TranslationModule provides ContentTranslationService (glossary lookup both ways + a TranslationProvider seam, default no-op). Customer-portal controllers pass Accept-Language to their services; SupportService and CustomerAccountService translate inbound text to English and store originals; toResource mappers carry source_language / *_original for staff. No change to the staff services' own semantics — they remain English-canonical.</w:t>
      </w:r>
    </w:p>
    <w:p>
      <w:pPr>
        <w:pStyle w:val="Heading1"/>
      </w:pPr>
      <w:r>
        <w:t>48. 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Design: display-tier only on the storefront (format.js locale helpers + currency/rate/locale maps). The backend adds digit transliteration to ContentTranslationService.toLocale and a toWesternDigits pass at the front of toEnglish. No service, schema or contract change; API responses still carry UGX numbers.</w:t>
      </w:r>
    </w:p>
    <w:p>
      <w:pPr>
        <w:pStyle w:val="Heading1"/>
      </w:pPr>
      <w:r>
        <w:t>49. 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Design: the Organization Service's company / branch / department / policy services gain delete operations with referential guards, and companies gain an activate/deactivate status transition. No new service and no schema change. The Clearing &amp; Forwarding system is a future set of domains layered on the existing platform, per doc 19 Section 6.</w:t>
      </w:r>
    </w:p>
    <w:p>
      <w:pPr>
        <w:pStyle w:val="Heading1"/>
      </w:pPr>
      <w:r>
        <w:t>50. 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Design: no new components. The subsidiary is data created through the Organization Service. The WMS is a future set of warehouse-specific domains layered on the existing platform, per doc 20 Section 5.</w:t>
      </w:r>
    </w:p>
    <w:p>
      <w:pPr>
        <w:pStyle w:val="Heading1"/>
      </w:pPr>
      <w:r>
        <w:t>51. 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Design: a new Inventory module sits beside the Product module and shares its scoping helper. Stock-on-hand stays on the product row; stock_movements is an append-only ledger; an adjustment updates the product and inserts the movement in one transaction, then records an audit event.</w:t>
      </w:r>
    </w:p>
    <w:p>
      <w:pPr>
        <w:pStyle w:val="Heading1"/>
      </w:pPr>
      <w:r>
        <w:t>52. 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Design: two new modules (Marketing, CMS) beside Products, plus a storefront sub-module for public/authenticated reads. Discount evaluation is a pure function shared by the validate endpoint and the order transaction; redemption count is incremented in the same transaction that writes the order. CMS keeps body (working copy) and publishedBody (served snapshot) separate.</w:t>
      </w:r>
    </w:p>
    <w:p>
      <w:pPr>
        <w:pStyle w:val="Heading1"/>
      </w:pPr>
      <w:r>
        <w:t>53. 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Design: unchanged. The Marketing and CMS modules already enforce marketing.manage / cms.manage on writes; the change is purely which role holds those codes, plus a new removeDiscountCode() service method and DELETE route.</w:t>
      </w:r>
    </w:p>
    <w:p>
      <w:pPr>
        <w:pStyle w:val="Heading1"/>
      </w:pPr>
      <w:r>
        <w:t>54. 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Design: MarketingService.activeBannersForStorefront and CmsService.listPublished / getPublished gain a lang parameter and call ContentTranslationService.toLocale on the customer-facing fields; the storefront controller resolves Accept-Language exactly as the catalogue controller does. evaluateDiscountCode returns a messageKey.</w:t>
      </w:r>
    </w:p>
    <w:p>
      <w:pPr>
        <w:pStyle w:val="Heading1"/>
      </w:pPr>
      <w:r>
        <w:t>55. 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Design: a new HrDashboard module runs parallel read queries (grouped counts and small ordered lists) across the HR tables and joins in company / branch / department / employee names; it holds no state. The Departments screen calls a new listAll() on the existing Departments service.</w:t>
      </w:r>
    </w:p>
    <w:p>
      <w:pPr>
        <w:pStyle w:val="Heading1"/>
      </w:pPr>
      <w:r>
        <w:t>56. 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Design: a ShiftScheduling module over a roster_entries table keyed uniquely by (employee, date); a Payroll module whose run computes every payslip in one transaction from a shared, database-free statutory calculator, and whose pay step writes the journal entry and advances the salary_advances rows in a second transaction.</w:t>
      </w:r>
    </w:p>
    <w:p>
      <w:pPr>
        <w:pStyle w:val="Heading1"/>
      </w:pPr>
      <w:r>
        <w:t>57. 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Design: a thin MyHr module whose service resolves the caller's Employee by user_id and projects each HR table to that one person; the write actions delegate to the existing self-resolving endpoints on the attendance / leave / performance modules, with one new create for a self-requested salary advance.</w:t>
      </w:r>
    </w:p>
    <w:p>
      <w:pPr>
        <w:pStyle w:val="Heading1"/>
      </w:pPr>
      <w:r>
        <w:t>58. 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No design change. Each demo user is given one Employee row with user_id set, the same shape the self-service module already resolves against.</w:t>
      </w:r>
    </w:p>
    <w:p>
      <w:pPr>
        <w:pStyle w:val="Heading1"/>
      </w:pPr>
      <w:r>
        <w:t>59. 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Design: a thin Finance module whose service composes DashboardService.financials() with its own aggregation queries over supplier_invoices, invoices, expenses, assets, projects and financial_periods. Stateless, read-only.</w:t>
      </w:r>
    </w:p>
    <w:p>
      <w:pPr>
        <w:pStyle w:val="Heading1"/>
      </w:pPr>
      <w:r>
        <w:t>60. 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Design: the existing CustomerAuthService is extended with register / googleSignIn / forgotPassword / resetPassword and a registrable-companies query. Identifier resolution tries email / account number / exact phone, then falls back to matching the national significant number (last nine digits). Reset tokens are opaque, stored only as a SHA-256 hash.</w:t>
      </w:r>
    </w:p>
    <w:p>
      <w:pPr>
        <w:pStyle w:val="Heading1"/>
      </w:pPr>
      <w:r>
        <w:t>61. 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Design — a resolveHoldingGroupCompanyIds helper (walk up to the root holding company, then collect its active descendants) drives the catalogue scope; CustomerCatalogService gains a subsidiaries projection; OrdersService.createForCustomer derives the selling company from the cart items and posts to that company's accounts, period and number sequences; product.branchId and customer.homeBranchId are added.</w:t>
      </w:r>
    </w:p>
    <w:p>
      <w:pPr>
        <w:pStyle w:val="Heading1"/>
      </w:pPr>
      <w:r>
        <w:t>62. 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Design — no design change; resolveHoldingGroupCompanyIds and the per-subsidiary checkout path already handle an arbitrary number of selling companies. The two companies get a starter chart of accounts + open period in the seed.</w:t>
      </w:r>
    </w:p>
    <w:p>
      <w:pPr>
        <w:pStyle w:val="Heading1"/>
      </w:pPr>
      <w:r>
        <w:t>63. 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Design — CustomerCatalogService localises the company / branch / address tags and the subsidiaries projection; CustomerAccountService and CustomerAuthService call ContentTranslationService.toEnglish on name / address / phone and keep source_language + *_original; the glossary is extended.</w:t>
      </w:r>
    </w:p>
    <w:p>
      <w:pPr>
        <w:pStyle w:val="Heading1"/>
      </w:pPr>
      <w:r>
        <w:t>64. 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Design — src/main.ts now builds a DocumentBuilder (two bearer schemes, staff and customer) and mounts SwaggerModule at api/v1/docs; nest-cli.json enables the @nestjs/swagger CLI plugin. @fastify/static is a new runtime dependency because the Fastify adapter serves the UI assets through it.</w:t>
      </w:r>
    </w:p>
    <w:p>
      <w:pPr>
        <w:pStyle w:val="Heading1"/>
      </w:pPr>
      <w:r>
        <w:t>65. 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Design — new public controller CustomerPublicController (/customer-portal/public/overview) with a customer-less CustomerCatalogService.listGroupOverview(lang); CustomerCatalogModule now exports its service and is imported by CustomerStorefrontModule. Front end: styles/corporate.css, components/CorporateLayout.jsx, pages/corporate/* and seven public routes in App.jsx; RootPage still branches signed-in → dashboard.</w:t>
      </w:r>
    </w:p>
    <w:p>
      <w:pPr>
        <w:pStyle w:val="Heading1"/>
      </w:pPr>
      <w:r>
        <w:t>66. 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Design — front-end only: mbms/storefront/src/styles/corporate.css now derives its tokens from storefront.css (navy/blue/amber, system fonts, 10px cards) instead of the paper/bronze reference palette. The public controller, routes and pages/corporate/* components are unchanged.</w:t>
      </w:r>
    </w:p>
    <w:p>
      <w:pPr>
        <w:pStyle w:val="Heading1"/>
      </w:pPr>
      <w:r>
        <w:t>67. 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Design — front-end only: ContentPage (pages/Page.jsx) now renders inside &lt;CorporateLayout&gt; with mc-* classes instead of its own minimal header; a small .mc-article style block was added to styles/corporate.css. The content endpoint and CMS module are unchanged.</w:t>
      </w:r>
    </w:p>
    <w:p>
      <w:pPr>
        <w:pStyle w:val="Heading1"/>
      </w:pPr>
      <w:r>
        <w:t>68. 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Design — new model SocialLink + enum SocialPlatform; new SocialLinksService in the CMS module (provider + export). CmsController gains /cms/social-links CRUD; CustomerPublicController gains GET /customer-portal/public/social-links. Front end: admin SocialLinksPanel in Cms.jsx; storefront useSocialLinks() in lib/corporate.js rendered in CorporateLayout and Layout footers.</w:t>
      </w:r>
    </w:p>
    <w:p>
      <w:pPr>
        <w:pStyle w:val="Heading1"/>
      </w:pPr>
      <w:r>
        <w:t>69. 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Design — new models FaqItem and NewsletterSubscriber + enum NewsletterStatus; new FaqService and NewsletterService in the CMS module (providers + exports). CmsController gains /cms/faqs CRUD and /cms/newsletter-subscribers (list + delete); CustomerPublicController gains GET /customer-portal/public/faqs and a throttled POST /customer-portal/public/newsletter. Front end: FaqPanel + NewsletterPanel in admin Cms.jsx; storefront useFaqs() / subscribeNewsletter() in lib/corporate.js rendered as NewsletterSection and FaqSection in pages/corporate/Home.jsx.</w:t>
      </w:r>
    </w:p>
    <w:p>
      <w:pPr>
        <w:pStyle w:val="Heading1"/>
      </w:pPr>
      <w:r>
        <w:t>70. 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Design — OrdersService.toOrderResource(o, lang, translation) localises companyName, item.productName and cancellationReason; listForCustomer / getForCustomer / createForCustomer / cancelForCustomer take lang; cancelForCustomer runs the reason through ContentTranslationService.toEnglish and stores English + original + source language. customer-orders.controller injects ContentTranslationService and reads Accept-Language. PaymentsService.createForCustomer digit-normalises the reference. Staff paths unchanged.</w:t>
      </w:r>
    </w:p>
    <w:p>
      <w:pPr>
        <w:pStyle w:val="Heading1"/>
      </w:pPr>
      <w:r>
        <w:t>71. 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Design — customer-account.controller /dashboard-summary reads Accept-Language; CustomerAccountService.dashboardSummary(customer, lang) threads it into OrdersService.listForCustomer. InvoicesService gains ContentTranslationService; statementForCustomer / statementPdfForCustomer / invoicePdfForCustomer take lang and localise row types and PDF labels via a loc() helper. OrdersService and MarketingService digit-normalise the typed discount code before the look-up. content-glossary.ts gains the statement / PDF label vocabulary. Storefront lib/api.js downloadFile() now sends Accept-Language.</w:t>
      </w:r>
    </w:p>
    <w:p>
      <w:pPr>
        <w:pStyle w:val="Heading1"/>
      </w:pPr>
      <w:r>
        <w:t>72. 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Design — no design change to the built system. Doc 21, Section 4 sketches the CMS's own service architecture (site &amp; agreement service, field sync service, stock ledger &amp; valuation engine, inspection / workflow engine, release / approval engine, integration and reporting layers); Section 10 records that, built inside MBMS, it reuses the platform stack and the audit / notification / localisation layers rather than a parallel one.</w:t>
      </w:r>
    </w:p>
    <w:p>
      <w:pPr>
        <w:pStyle w:val="Heading1"/>
      </w:pPr>
      <w:r>
        <w:t>73. 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Design — new model DisclaimerItem + DisclaimerService in the CMS module; CmsController gains /cms/disclaimer-items CRUD; CustomerPublicController gains GET /customer-portal/public/disclaimer (returns holdSeconds + items). Front end: new DisclaimerGate component rendered by App.jsx RootPage for a signed-out, un-acknowledged visitor (with a CorporateRoute guard on the deep-link marketing routes); the CorporateLayout modal is demoted to a manual re-opener fed by useDisclaimer().</w:t>
      </w:r>
    </w:p>
    <w:p>
      <w:pPr>
        <w:pStyle w:val="Heading1"/>
      </w:pPr>
      <w:r>
        <w:t>74. 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Design — front-end only: 144 corp.* keys added to locales/eu.js (fr/es/pt/de/it) and locales/regional.js (sw/lg/ar); i18n.jsx readInitialLang() gains ?lang= and navigator.languages detection ahead of the English default; corporate.css gains a [dir='rtl'] block. Backend: the five seeded disclaimer statements added to content-glossary.ts (eight languages) so DisclaimerService.listPublic translates them.</w:t>
      </w:r>
    </w:p>
    <w:p>
      <w:pPr>
        <w:pStyle w:val="Heading1"/>
      </w:pPr>
      <w:r>
        <w:t>75. 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Design — no design change. seed.ts adds a Collateral Management block using the existing ensureStorefrontBooks / ensureCategory / ensureService helpers; content-glossary.ts gains five category phrases and ~25 service-name tokens.</w:t>
      </w:r>
    </w:p>
    <w:p>
      <w:pPr>
        <w:pStyle w:val="Heading1"/>
      </w:pPr>
      <w:r>
        <w:t>76. 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Design — no design change. seed.ts ROLE_PERMISSIONS['Managing Director'] is set to the full catalogue; sixteen frontend pages change their in-page gate from hasRole(list) to hasRole(list) || hasPermission(code). The permissions-payload / ROUTE_CAPABILITIES / RequireAuth visibility layer is unchanged.</w:t>
      </w:r>
    </w:p>
    <w:p>
      <w:pPr>
        <w:pStyle w:val="Heading1"/>
      </w:pPr>
      <w:r>
        <w:t>77. 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Design — add src/components/Logo.jsx (identical in mbms/frontend and mbms/storefront): an inline SVG of a monoline “M” (stroke = currentColor) with an amber apex diamond, props size / tile / tone. Brand SVGs and the brand sheet live in brand/ at the repo root.</w:t>
      </w:r>
    </w:p>
    <w:p>
      <w:pPr>
        <w:pStyle w:val="Heading1"/>
      </w:pPr>
      <w:r>
        <w:t>78. 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Design — new brand/banners/*.svg on the logo’s visual language (navy→blue gradient, logomark watermark, amber keystone diamond, route line). .sf-hero and .mc-hero add url(/brand/banners/group-hero-bg.svg) over the gradient; index.html gains og:image / twitter:image → social-card.svg.</w:t>
      </w:r>
    </w:p>
    <w:p>
      <w:pPr>
        <w:pStyle w:val="Heading1"/>
      </w:pPr>
      <w:r>
        <w:t>79. 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Design — corporate/Home.jsx, corporate/Companies.jsx, corporate/CompanyDetail.jsx, Subsidiaries.jsx and Shop.jsx render &lt;img&gt; banners from /brand/banners/ via a new bannerFor(name) helper in lib/corporate.js; .mc-co-photo / .mc-photo-strip become images and new .sf-*-banner classes are added.</w:t>
      </w:r>
    </w:p>
    <w:p>
      <w:pPr>
        <w:pStyle w:val="Heading1"/>
      </w:pPr>
      <w:r>
        <w:t>80. 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Design — a new delivery domain (Delivery, DeliveryDriver, DeliveryEvent) with a dispatch state machine, exposed by DeliveryController and reused by the customer-portal orders controller through a shared DeliveryService (the same pattern SalesModule uses for OrdersService). Every mutation records a delivery.* audit event. The live-tracking / routing / notification services in doc 22 Section 4 are future scope.</w:t>
      </w:r>
    </w:p>
    <w:p>
      <w:pPr>
        <w:pStyle w:val="Heading1"/>
      </w:pPr>
      <w:r>
        <w:t>81. 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Design — a new acknowledgement write against the delivery (or a delivery_acknowledgements record), an issued / stamped state on Invoice with a delivery_id link, a stamp-rendering step in the PDF builder, audit delivery.acknowledged / invoice.stamped, and an exception hand-off reusing doc 22 Section 2.5. Nothing added to the built design.</w:t>
      </w:r>
    </w:p>
    <w:p>
      <w:pPr>
        <w:pStyle w:val="Heading1"/>
      </w:pPr>
      <w:r>
        <w:t>82. 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Design — assignment is DeliveryService.create (optional driverId) and .assignDriver (scope + active + same-company checks, assignedAt stamp, delivery_events row, delivery.driver_assigned audit); the persona pool is DeliveryDriver with CRUD; eligibleOrders filters Order by fulfilment status minus orders that already have a delivery. Nothing added to the built design.</w:t>
      </w:r>
    </w:p>
    <w:p>
      <w:pPr>
        <w:pStyle w:val="Heading1"/>
      </w:pPr>
      <w:r>
        <w:t>83. 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Design — no design change; the delivery.manage / delivery.viewAll codes designed into the DeliveryController two updates ago are now real — seeded in the catalogue and granted per the existing role model (the “everything” roles, IT Administrator and Operations Manager get both; Branch Manager gets manage in scope; the oversight roles get viewAll).</w:t>
      </w:r>
    </w:p>
    <w:p>
      <w:pPr>
        <w:pStyle w:val="Heading1"/>
      </w:pPr>
      <w:r>
        <w:t>84. 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Design — no design change. The t() keys are unchanged; only their English and translated values were edited. The /cart route and the Cart* components keep their names.</w:t>
      </w:r>
    </w:p>
    <w:p>
      <w:pPr>
        <w:pStyle w:val="Heading1"/>
      </w:pPr>
      <w:r>
        <w:t>85. Implementation Status Update 70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Design — the built design: PayrollRun (company + year + month, totals, status, journalEntryId), Payslip (per-employee gross / PAYE / NSSF / advanceRecovery / otherDeductions / net), SalaryAdvance (instalment recovery), uganda-statutory.util.ts (pure PAYE / NSSF). The spec's additions — a salary-structure / component model, a deductions catalogue, a Loan entity, a PayslipDocument (PDF), a BankPaymentSchedule, and a payroll-reporting service keyed by department / company / group — are net-new.</w:t>
      </w:r>
    </w:p>
    <w:p>
      <w:pPr>
        <w:pStyle w:val="Heading1"/>
      </w:pPr>
      <w:r>
        <w:t>86. Implementation Status Update 71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Design — new SalaryComponent (per-employee structure: type, label, amount, recurring, optional period) and PayslipComponent (per-payslip breakdown, cascade on the payslip). PayrollService.createRun derives gross via componentsForPeriod() with an Employee.grossSalary fallback; new listComponents / createComponent / updateComponent / deleteComponent / salaryStructure. computePay and the pay-run GL posting are untouched.</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ourier New">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1"/>
      <w:szCs w:val="21"/>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System Design Document</dc:title>
</cp:coreProperties>
</file>

<file path=docProps/custom.xml><?xml version="1.0" encoding="utf-8"?>
<Properties xmlns="http://schemas.openxmlformats.org/officeDocument/2006/custom-properties" xmlns:vt="http://schemas.openxmlformats.org/officeDocument/2006/docPropsVTypes"/>
</file>