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Maintenance Plan</w:t>
      </w:r>
    </w:p>
    <w:p>
      <w:pPr>
        <w:pStyle w:val="BodyText"/>
        <w:bidi w:val="0"/>
        <w:spacing w:before="30" w:after="283"/>
        <w:ind w:hanging="0" w:left="0" w:right="0"/>
        <w:jc w:val="left"/>
        <w:rPr>
          <w:color w:val="444444"/>
          <w:sz w:val="24"/>
        </w:rPr>
      </w:pPr>
      <w:r>
        <w:rPr>
          <w:color w:val="444444"/>
          <w:sz w:val="24"/>
        </w:rPr>
        <w:t>Morise Holdings Limited Business Management System (MBMS) — Phase 1</w:t>
      </w:r>
    </w:p>
    <w:tbl>
      <w:tblPr>
        <w:tblW w:w="9659" w:type="dxa"/>
        <w:jc w:val="left"/>
        <w:tblInd w:w="28" w:type="dxa"/>
        <w:tblLayout w:type="fixed"/>
        <w:tblCellMar>
          <w:top w:w="28" w:type="dxa"/>
          <w:left w:w="28" w:type="dxa"/>
          <w:bottom w:w="28" w:type="dxa"/>
          <w:right w:w="28" w:type="dxa"/>
        </w:tblCellMar>
      </w:tblPr>
      <w:tblGrid>
        <w:gridCol w:w="2058"/>
        <w:gridCol w:w="7601"/>
      </w:tblGrid>
      <w:tr>
        <w:trPr/>
        <w:tc>
          <w:tcPr>
            <w:tcW w:w="2058" w:type="dxa"/>
            <w:tcBorders/>
            <w:vAlign w:val="center"/>
          </w:tcPr>
          <w:p>
            <w:pPr>
              <w:pStyle w:val="TableContents"/>
              <w:bidi w:val="0"/>
              <w:spacing w:before="0" w:after="283"/>
              <w:jc w:val="left"/>
              <w:rPr>
                <w:b/>
              </w:rPr>
            </w:pPr>
            <w:r>
              <w:rPr>
                <w:b/>
              </w:rPr>
              <w:t>Document Type:</w:t>
            </w:r>
          </w:p>
        </w:tc>
        <w:tc>
          <w:tcPr>
            <w:tcW w:w="7601" w:type="dxa"/>
            <w:tcBorders/>
            <w:vAlign w:val="center"/>
          </w:tcPr>
          <w:p>
            <w:pPr>
              <w:pStyle w:val="TableContents"/>
              <w:bidi w:val="0"/>
              <w:spacing w:before="0" w:after="283"/>
              <w:jc w:val="left"/>
              <w:rPr/>
            </w:pPr>
            <w:r>
              <w:rPr/>
              <w:t>Maintenance Plan</w:t>
            </w:r>
          </w:p>
        </w:tc>
      </w:tr>
      <w:tr>
        <w:trPr/>
        <w:tc>
          <w:tcPr>
            <w:tcW w:w="2058" w:type="dxa"/>
            <w:tcBorders/>
            <w:vAlign w:val="center"/>
          </w:tcPr>
          <w:p>
            <w:pPr>
              <w:pStyle w:val="TableContents"/>
              <w:bidi w:val="0"/>
              <w:spacing w:before="0" w:after="283"/>
              <w:jc w:val="left"/>
              <w:rPr>
                <w:b/>
              </w:rPr>
            </w:pPr>
            <w:r>
              <w:rPr>
                <w:b/>
              </w:rPr>
              <w:t>Purpose:</w:t>
            </w:r>
          </w:p>
        </w:tc>
        <w:tc>
          <w:tcPr>
            <w:tcW w:w="7601" w:type="dxa"/>
            <w:tcBorders/>
            <w:vAlign w:val="center"/>
          </w:tcPr>
          <w:p>
            <w:pPr>
              <w:pStyle w:val="TableContents"/>
              <w:bidi w:val="0"/>
              <w:spacing w:before="0" w:after="283"/>
              <w:jc w:val="left"/>
              <w:rPr/>
            </w:pPr>
            <w:r>
              <w:rPr/>
              <w:t>Defines post-launch support</w:t>
            </w:r>
          </w:p>
        </w:tc>
      </w:tr>
      <w:tr>
        <w:trPr/>
        <w:tc>
          <w:tcPr>
            <w:tcW w:w="2058" w:type="dxa"/>
            <w:tcBorders/>
            <w:vAlign w:val="center"/>
          </w:tcPr>
          <w:p>
            <w:pPr>
              <w:pStyle w:val="TableContents"/>
              <w:bidi w:val="0"/>
              <w:spacing w:before="0" w:after="283"/>
              <w:jc w:val="left"/>
              <w:rPr>
                <w:b/>
              </w:rPr>
            </w:pPr>
            <w:r>
              <w:rPr>
                <w:b/>
              </w:rPr>
              <w:t>Version:</w:t>
            </w:r>
          </w:p>
        </w:tc>
        <w:tc>
          <w:tcPr>
            <w:tcW w:w="7601" w:type="dxa"/>
            <w:tcBorders/>
            <w:vAlign w:val="center"/>
          </w:tcPr>
          <w:p>
            <w:pPr>
              <w:pStyle w:val="TableContents"/>
              <w:bidi w:val="0"/>
              <w:spacing w:before="0" w:after="283"/>
              <w:jc w:val="left"/>
              <w:rPr/>
            </w:pPr>
            <w:r>
              <w:rPr/>
              <w:t>1.0 (Draft)</w:t>
            </w:r>
          </w:p>
        </w:tc>
      </w:tr>
      <w:tr>
        <w:trPr/>
        <w:tc>
          <w:tcPr>
            <w:tcW w:w="2058" w:type="dxa"/>
            <w:tcBorders/>
            <w:vAlign w:val="center"/>
          </w:tcPr>
          <w:p>
            <w:pPr>
              <w:pStyle w:val="TableContents"/>
              <w:bidi w:val="0"/>
              <w:spacing w:before="0" w:after="283"/>
              <w:jc w:val="left"/>
              <w:rPr>
                <w:b/>
              </w:rPr>
            </w:pPr>
            <w:r>
              <w:rPr>
                <w:b/>
              </w:rPr>
              <w:t>Date:</w:t>
            </w:r>
          </w:p>
        </w:tc>
        <w:tc>
          <w:tcPr>
            <w:tcW w:w="7601" w:type="dxa"/>
            <w:tcBorders/>
            <w:vAlign w:val="center"/>
          </w:tcPr>
          <w:p>
            <w:pPr>
              <w:pStyle w:val="TableContents"/>
              <w:bidi w:val="0"/>
              <w:spacing w:before="0" w:after="283"/>
              <w:jc w:val="left"/>
              <w:rPr/>
            </w:pPr>
            <w:r>
              <w:rPr/>
              <w:t>18 August 2026</w:t>
            </w:r>
          </w:p>
        </w:tc>
      </w:tr>
      <w:tr>
        <w:trPr/>
        <w:tc>
          <w:tcPr>
            <w:tcW w:w="2058" w:type="dxa"/>
            <w:tcBorders/>
            <w:vAlign w:val="center"/>
          </w:tcPr>
          <w:p>
            <w:pPr>
              <w:pStyle w:val="TableContents"/>
              <w:bidi w:val="0"/>
              <w:spacing w:before="0" w:after="283"/>
              <w:jc w:val="left"/>
              <w:rPr>
                <w:b/>
              </w:rPr>
            </w:pPr>
            <w:r>
              <w:rPr>
                <w:b/>
              </w:rPr>
              <w:t>Prepared by:</w:t>
            </w:r>
          </w:p>
        </w:tc>
        <w:tc>
          <w:tcPr>
            <w:tcW w:w="7601" w:type="dxa"/>
            <w:tcBorders/>
            <w:vAlign w:val="center"/>
          </w:tcPr>
          <w:p>
            <w:pPr>
              <w:pStyle w:val="TableContents"/>
              <w:bidi w:val="0"/>
              <w:spacing w:before="0" w:after="283"/>
              <w:jc w:val="left"/>
              <w:rPr/>
            </w:pPr>
            <w:r>
              <w:rPr/>
              <w:t>Obeke Godfrey, Director</w:t>
            </w:r>
          </w:p>
        </w:tc>
      </w:tr>
      <w:tr>
        <w:trPr/>
        <w:tc>
          <w:tcPr>
            <w:tcW w:w="2058" w:type="dxa"/>
            <w:tcBorders/>
            <w:vAlign w:val="center"/>
          </w:tcPr>
          <w:p>
            <w:pPr>
              <w:pStyle w:val="TableContents"/>
              <w:bidi w:val="0"/>
              <w:spacing w:before="0" w:after="283"/>
              <w:jc w:val="left"/>
              <w:rPr>
                <w:b/>
              </w:rPr>
            </w:pPr>
            <w:r>
              <w:rPr>
                <w:b/>
              </w:rPr>
              <w:t>Prepared for:</w:t>
            </w:r>
          </w:p>
        </w:tc>
        <w:tc>
          <w:tcPr>
            <w:tcW w:w="7601" w:type="dxa"/>
            <w:tcBorders/>
            <w:vAlign w:val="center"/>
          </w:tcPr>
          <w:p>
            <w:pPr>
              <w:pStyle w:val="TableContents"/>
              <w:bidi w:val="0"/>
              <w:spacing w:before="0" w:after="283"/>
              <w:jc w:val="left"/>
              <w:rPr/>
            </w:pPr>
            <w:r>
              <w:rPr/>
              <w:t>Board of Directors, IT Administrator, Development Team / Technology Partner</w:t>
            </w:r>
          </w:p>
        </w:tc>
      </w:tr>
      <w:tr>
        <w:trPr/>
        <w:tc>
          <w:tcPr>
            <w:tcW w:w="2058" w:type="dxa"/>
            <w:tcBorders/>
            <w:vAlign w:val="center"/>
          </w:tcPr>
          <w:p>
            <w:pPr>
              <w:pStyle w:val="TableContents"/>
              <w:bidi w:val="0"/>
              <w:spacing w:before="0" w:after="283"/>
              <w:jc w:val="left"/>
              <w:rPr>
                <w:b/>
              </w:rPr>
            </w:pPr>
            <w:r>
              <w:rPr>
                <w:b/>
              </w:rPr>
              <w:t>Related documents:</w:t>
            </w:r>
          </w:p>
        </w:tc>
        <w:tc>
          <w:tcPr>
            <w:tcW w:w="7601" w:type="dxa"/>
            <w:tcBorders/>
            <w:vAlign w:val="center"/>
          </w:tcPr>
          <w:p>
            <w:pPr>
              <w:pStyle w:val="TableContents"/>
              <w:bidi w:val="0"/>
              <w:spacing w:before="0" w:after="283"/>
              <w:jc w:val="left"/>
              <w:rPr/>
            </w:pPr>
            <w:r>
              <w:rPr/>
              <w:t>10_Test Plan; 11_Deployment Plan; 15_Administrator Manual; 01_Project Proposal</w:t>
            </w:r>
          </w:p>
        </w:tc>
      </w:tr>
    </w:tbl>
    <w:p>
      <w:pPr>
        <w:pStyle w:val="Heading2"/>
        <w:bidi w:val="0"/>
        <w:jc w:val="left"/>
        <w:rPr/>
      </w:pPr>
      <w:r>
        <w:rPr/>
        <w:t>1. Purpose</w:t>
      </w:r>
    </w:p>
    <w:p>
      <w:pPr>
        <w:pStyle w:val="BodyText"/>
        <w:bidi w:val="0"/>
        <w:jc w:val="left"/>
        <w:rPr/>
      </w:pPr>
      <w:r>
        <w:rPr/>
        <w:t>This is the seventeenth and final document in the Group's required software development documentation sequence (Multi Holdings Limited Software Development Procedures and Implementation Blueprint, Section 25). It defines how MBMS Phase 1 is supported, fixed, updated and kept healthy after go-live — the ongoing work that begins the moment 11_Deployment Plan's rollout completes and continues for as long as the system is in use.</w:t>
      </w:r>
    </w:p>
    <w:p>
      <w:pPr>
        <w:pStyle w:val="Heading2"/>
        <w:bidi w:val="0"/>
        <w:jc w:val="left"/>
        <w:rPr/>
      </w:pPr>
      <w:r>
        <w:rPr/>
        <w:t>2. Categories of Maintenance</w:t>
      </w:r>
    </w:p>
    <w:tbl>
      <w:tblPr>
        <w:tblW w:w="11339" w:type="dxa"/>
        <w:jc w:val="left"/>
        <w:tblInd w:w="28" w:type="dxa"/>
        <w:tblLayout w:type="fixed"/>
        <w:tblCellMar>
          <w:top w:w="28" w:type="dxa"/>
          <w:left w:w="28" w:type="dxa"/>
          <w:bottom w:w="28" w:type="dxa"/>
          <w:right w:w="28" w:type="dxa"/>
        </w:tblCellMar>
      </w:tblPr>
      <w:tblGrid>
        <w:gridCol w:w="1657"/>
        <w:gridCol w:w="4145"/>
        <w:gridCol w:w="5537"/>
      </w:tblGrid>
      <w:tr>
        <w:trPr/>
        <w:tc>
          <w:tcPr>
            <w:tcW w:w="1657" w:type="dxa"/>
            <w:tcBorders/>
            <w:vAlign w:val="center"/>
          </w:tcPr>
          <w:p>
            <w:pPr>
              <w:pStyle w:val="TableHeading"/>
              <w:suppressLineNumbers/>
              <w:shd w:fill="1F3864" w:val="clear"/>
              <w:bidi w:val="0"/>
              <w:spacing w:before="0" w:after="283"/>
              <w:jc w:val="left"/>
              <w:rPr/>
            </w:pPr>
            <w:r>
              <w:rPr/>
              <w:t>Category</w:t>
            </w:r>
          </w:p>
        </w:tc>
        <w:tc>
          <w:tcPr>
            <w:tcW w:w="4145" w:type="dxa"/>
            <w:tcBorders/>
            <w:vAlign w:val="center"/>
          </w:tcPr>
          <w:p>
            <w:pPr>
              <w:pStyle w:val="TableHeading"/>
              <w:suppressLineNumbers/>
              <w:shd w:fill="1F3864" w:val="clear"/>
              <w:bidi w:val="0"/>
              <w:spacing w:before="0" w:after="283"/>
              <w:jc w:val="left"/>
              <w:rPr/>
            </w:pPr>
            <w:r>
              <w:rPr/>
              <w:t>Covers</w:t>
            </w:r>
          </w:p>
        </w:tc>
        <w:tc>
          <w:tcPr>
            <w:tcW w:w="5537" w:type="dxa"/>
            <w:tcBorders/>
            <w:vAlign w:val="center"/>
          </w:tcPr>
          <w:p>
            <w:pPr>
              <w:pStyle w:val="TableHeading"/>
              <w:suppressLineNumbers/>
              <w:shd w:fill="1F3864" w:val="clear"/>
              <w:bidi w:val="0"/>
              <w:spacing w:before="0" w:after="283"/>
              <w:jc w:val="left"/>
              <w:rPr/>
            </w:pPr>
            <w:r>
              <w:rPr/>
              <w:t>Example</w:t>
            </w:r>
          </w:p>
        </w:tc>
      </w:tr>
      <w:tr>
        <w:trPr/>
        <w:tc>
          <w:tcPr>
            <w:tcW w:w="1657" w:type="dxa"/>
            <w:tcBorders/>
            <w:vAlign w:val="center"/>
          </w:tcPr>
          <w:p>
            <w:pPr>
              <w:pStyle w:val="TableContents"/>
              <w:bidi w:val="0"/>
              <w:spacing w:before="0" w:after="283"/>
              <w:jc w:val="left"/>
              <w:rPr/>
            </w:pPr>
            <w:r>
              <w:rPr/>
              <w:t>Corrective</w:t>
            </w:r>
          </w:p>
        </w:tc>
        <w:tc>
          <w:tcPr>
            <w:tcW w:w="4145" w:type="dxa"/>
            <w:tcBorders/>
            <w:vAlign w:val="center"/>
          </w:tcPr>
          <w:p>
            <w:pPr>
              <w:pStyle w:val="TableContents"/>
              <w:bidi w:val="0"/>
              <w:spacing w:before="0" w:after="283"/>
              <w:jc w:val="left"/>
              <w:rPr/>
            </w:pPr>
            <w:r>
              <w:rPr/>
              <w:t>Fixing defects found after go-live</w:t>
            </w:r>
          </w:p>
        </w:tc>
        <w:tc>
          <w:tcPr>
            <w:tcW w:w="5537" w:type="dxa"/>
            <w:tcBorders/>
            <w:vAlign w:val="center"/>
          </w:tcPr>
          <w:p>
            <w:pPr>
              <w:pStyle w:val="TableContents"/>
              <w:bidi w:val="0"/>
              <w:spacing w:before="0" w:after="283"/>
              <w:jc w:val="left"/>
              <w:rPr/>
            </w:pPr>
            <w:r>
              <w:rPr/>
              <w:t>A bug in trial balance calculation discovered by a Finance user</w:t>
            </w:r>
          </w:p>
        </w:tc>
      </w:tr>
      <w:tr>
        <w:trPr/>
        <w:tc>
          <w:tcPr>
            <w:tcW w:w="1657" w:type="dxa"/>
            <w:tcBorders/>
            <w:vAlign w:val="center"/>
          </w:tcPr>
          <w:p>
            <w:pPr>
              <w:pStyle w:val="TableContents"/>
              <w:bidi w:val="0"/>
              <w:spacing w:before="0" w:after="283"/>
              <w:jc w:val="left"/>
              <w:rPr/>
            </w:pPr>
            <w:r>
              <w:rPr/>
              <w:t>Adaptive / Preventive</w:t>
            </w:r>
          </w:p>
        </w:tc>
        <w:tc>
          <w:tcPr>
            <w:tcW w:w="4145" w:type="dxa"/>
            <w:tcBorders/>
            <w:vAlign w:val="center"/>
          </w:tcPr>
          <w:p>
            <w:pPr>
              <w:pStyle w:val="TableContents"/>
              <w:bidi w:val="0"/>
              <w:spacing w:before="0" w:after="283"/>
              <w:jc w:val="left"/>
              <w:rPr/>
            </w:pPr>
            <w:r>
              <w:rPr/>
              <w:t>Keeping the system secure and current without changing its behavior</w:t>
            </w:r>
          </w:p>
        </w:tc>
        <w:tc>
          <w:tcPr>
            <w:tcW w:w="5537" w:type="dxa"/>
            <w:tcBorders/>
            <w:vAlign w:val="center"/>
          </w:tcPr>
          <w:p>
            <w:pPr>
              <w:pStyle w:val="TableContents"/>
              <w:bidi w:val="0"/>
              <w:spacing w:before="0" w:after="283"/>
              <w:jc w:val="left"/>
              <w:rPr/>
            </w:pPr>
            <w:r>
              <w:rPr/>
              <w:t>Applying a security patch to a dependency; renewing TLS certificates</w:t>
            </w:r>
          </w:p>
        </w:tc>
      </w:tr>
      <w:tr>
        <w:trPr/>
        <w:tc>
          <w:tcPr>
            <w:tcW w:w="1657" w:type="dxa"/>
            <w:tcBorders/>
            <w:vAlign w:val="center"/>
          </w:tcPr>
          <w:p>
            <w:pPr>
              <w:pStyle w:val="TableContents"/>
              <w:bidi w:val="0"/>
              <w:spacing w:before="0" w:after="283"/>
              <w:jc w:val="left"/>
              <w:rPr/>
            </w:pPr>
            <w:r>
              <w:rPr/>
              <w:t>Perfective</w:t>
            </w:r>
          </w:p>
        </w:tc>
        <w:tc>
          <w:tcPr>
            <w:tcW w:w="4145" w:type="dxa"/>
            <w:tcBorders/>
            <w:vAlign w:val="center"/>
          </w:tcPr>
          <w:p>
            <w:pPr>
              <w:pStyle w:val="TableContents"/>
              <w:bidi w:val="0"/>
              <w:spacing w:before="0" w:after="283"/>
              <w:jc w:val="left"/>
              <w:rPr/>
            </w:pPr>
            <w:r>
              <w:rPr/>
              <w:t>Improving something that already works, within Phase 1's approved scope</w:t>
            </w:r>
          </w:p>
        </w:tc>
        <w:tc>
          <w:tcPr>
            <w:tcW w:w="5537" w:type="dxa"/>
            <w:tcBorders/>
            <w:vAlign w:val="center"/>
          </w:tcPr>
          <w:p>
            <w:pPr>
              <w:pStyle w:val="TableContents"/>
              <w:bidi w:val="0"/>
              <w:spacing w:before="0" w:after="283"/>
              <w:jc w:val="left"/>
              <w:rPr/>
            </w:pPr>
            <w:r>
              <w:rPr/>
              <w:t>Making a frequently used report load faster; clarifying a confusing error message</w:t>
            </w:r>
          </w:p>
        </w:tc>
      </w:tr>
      <w:tr>
        <w:trPr/>
        <w:tc>
          <w:tcPr>
            <w:tcW w:w="1657" w:type="dxa"/>
            <w:tcBorders/>
            <w:vAlign w:val="center"/>
          </w:tcPr>
          <w:p>
            <w:pPr>
              <w:pStyle w:val="TableContents"/>
              <w:bidi w:val="0"/>
              <w:spacing w:before="0" w:after="283"/>
              <w:jc w:val="left"/>
              <w:rPr/>
            </w:pPr>
            <w:r>
              <w:rPr/>
              <w:t>Emergency</w:t>
            </w:r>
          </w:p>
        </w:tc>
        <w:tc>
          <w:tcPr>
            <w:tcW w:w="4145" w:type="dxa"/>
            <w:tcBorders/>
            <w:vAlign w:val="center"/>
          </w:tcPr>
          <w:p>
            <w:pPr>
              <w:pStyle w:val="TableContents"/>
              <w:bidi w:val="0"/>
              <w:spacing w:before="0" w:after="283"/>
              <w:jc w:val="left"/>
              <w:rPr/>
            </w:pPr>
            <w:r>
              <w:rPr/>
              <w:t>Immediate response to an active incident</w:t>
            </w:r>
          </w:p>
        </w:tc>
        <w:tc>
          <w:tcPr>
            <w:tcW w:w="5537" w:type="dxa"/>
            <w:tcBorders/>
            <w:vAlign w:val="center"/>
          </w:tcPr>
          <w:p>
            <w:pPr>
              <w:pStyle w:val="TableContents"/>
              <w:bidi w:val="0"/>
              <w:spacing w:before="0" w:after="283"/>
              <w:jc w:val="left"/>
              <w:rPr/>
            </w:pPr>
            <w:r>
              <w:rPr/>
              <w:t>A service outage; a suspected security breach — handled per 15_Administrator Manual, Section 7</w:t>
            </w:r>
          </w:p>
        </w:tc>
      </w:tr>
    </w:tbl>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Boundary with new feature work:</w:t>
      </w:r>
      <w:r>
        <w:rPr>
          <w:sz w:val="21"/>
          <w:bdr w:val="single" w:sz="24" w:space="9" w:color="D98C00"/>
          <w:shd w:fill="FFF4E5" w:val="clear"/>
        </w:rPr>
        <w:t xml:space="preserve"> a request for functionality Phase 1 does not have (e.g. "can we track sales orders") is not maintenance — it is Phase 2+ scope, per 01_Project Proposal's phased roadmap, and goes through the same Board approval process as any other phase, not through this maintenance process. The Change Management process (Section 8) exists partly to keep this boundary from quietly eroding.</w:t>
      </w:r>
    </w:p>
    <w:p>
      <w:pPr>
        <w:pStyle w:val="Heading2"/>
        <w:bidi w:val="0"/>
        <w:jc w:val="left"/>
        <w:rPr/>
      </w:pPr>
      <w:r>
        <w:rPr/>
        <w:t>3. Support Tiers</w:t>
      </w:r>
    </w:p>
    <w:tbl>
      <w:tblPr>
        <w:tblW w:w="11339" w:type="dxa"/>
        <w:jc w:val="left"/>
        <w:tblInd w:w="28" w:type="dxa"/>
        <w:tblLayout w:type="fixed"/>
        <w:tblCellMar>
          <w:top w:w="28" w:type="dxa"/>
          <w:left w:w="28" w:type="dxa"/>
          <w:bottom w:w="28" w:type="dxa"/>
          <w:right w:w="28" w:type="dxa"/>
        </w:tblCellMar>
      </w:tblPr>
      <w:tblGrid>
        <w:gridCol w:w="2778"/>
        <w:gridCol w:w="4930"/>
        <w:gridCol w:w="3631"/>
      </w:tblGrid>
      <w:tr>
        <w:trPr/>
        <w:tc>
          <w:tcPr>
            <w:tcW w:w="2778" w:type="dxa"/>
            <w:tcBorders/>
            <w:vAlign w:val="center"/>
          </w:tcPr>
          <w:p>
            <w:pPr>
              <w:pStyle w:val="TableHeading"/>
              <w:suppressLineNumbers/>
              <w:shd w:fill="1F3864" w:val="clear"/>
              <w:bidi w:val="0"/>
              <w:spacing w:before="0" w:after="283"/>
              <w:jc w:val="left"/>
              <w:rPr/>
            </w:pPr>
            <w:r>
              <w:rPr/>
              <w:t>Tier</w:t>
            </w:r>
          </w:p>
        </w:tc>
        <w:tc>
          <w:tcPr>
            <w:tcW w:w="4930" w:type="dxa"/>
            <w:tcBorders/>
            <w:vAlign w:val="center"/>
          </w:tcPr>
          <w:p>
            <w:pPr>
              <w:pStyle w:val="TableHeading"/>
              <w:suppressLineNumbers/>
              <w:shd w:fill="1F3864" w:val="clear"/>
              <w:bidi w:val="0"/>
              <w:spacing w:before="0" w:after="283"/>
              <w:jc w:val="left"/>
              <w:rPr/>
            </w:pPr>
            <w:r>
              <w:rPr/>
              <w:t>Handles</w:t>
            </w:r>
          </w:p>
        </w:tc>
        <w:tc>
          <w:tcPr>
            <w:tcW w:w="3631" w:type="dxa"/>
            <w:tcBorders/>
            <w:vAlign w:val="center"/>
          </w:tcPr>
          <w:p>
            <w:pPr>
              <w:pStyle w:val="TableHeading"/>
              <w:suppressLineNumbers/>
              <w:shd w:fill="1F3864" w:val="clear"/>
              <w:bidi w:val="0"/>
              <w:spacing w:before="0" w:after="283"/>
              <w:jc w:val="left"/>
              <w:rPr/>
            </w:pPr>
            <w:r>
              <w:rPr/>
              <w:t>Escalates To</w:t>
            </w:r>
          </w:p>
        </w:tc>
      </w:tr>
      <w:tr>
        <w:trPr/>
        <w:tc>
          <w:tcPr>
            <w:tcW w:w="2778" w:type="dxa"/>
            <w:tcBorders/>
            <w:vAlign w:val="center"/>
          </w:tcPr>
          <w:p>
            <w:pPr>
              <w:pStyle w:val="TableContents"/>
              <w:bidi w:val="0"/>
              <w:spacing w:before="0" w:after="283"/>
              <w:jc w:val="left"/>
              <w:rPr/>
            </w:pPr>
            <w:r>
              <w:rPr/>
              <w:t>Tier 1 — User Support</w:t>
            </w:r>
          </w:p>
        </w:tc>
        <w:tc>
          <w:tcPr>
            <w:tcW w:w="4930" w:type="dxa"/>
            <w:tcBorders/>
            <w:vAlign w:val="center"/>
          </w:tcPr>
          <w:p>
            <w:pPr>
              <w:pStyle w:val="TableContents"/>
              <w:bidi w:val="0"/>
              <w:spacing w:before="0" w:after="283"/>
              <w:jc w:val="left"/>
              <w:rPr/>
            </w:pPr>
            <w:r>
              <w:rPr/>
              <w:t>"How do I…" questions answerable from 14_User Manual; password resets a user cannot self-serve</w:t>
            </w:r>
          </w:p>
        </w:tc>
        <w:tc>
          <w:tcPr>
            <w:tcW w:w="3631" w:type="dxa"/>
            <w:tcBorders/>
            <w:vAlign w:val="center"/>
          </w:tcPr>
          <w:p>
            <w:pPr>
              <w:pStyle w:val="TableContents"/>
              <w:bidi w:val="0"/>
              <w:spacing w:before="0" w:after="283"/>
              <w:jc w:val="left"/>
              <w:rPr/>
            </w:pPr>
            <w:r>
              <w:rPr/>
              <w:t>Tier 2 if the issue looks like a defect, not a how-to question</w:t>
            </w:r>
          </w:p>
        </w:tc>
      </w:tr>
      <w:tr>
        <w:trPr/>
        <w:tc>
          <w:tcPr>
            <w:tcW w:w="2778" w:type="dxa"/>
            <w:tcBorders/>
            <w:vAlign w:val="center"/>
          </w:tcPr>
          <w:p>
            <w:pPr>
              <w:pStyle w:val="TableContents"/>
              <w:bidi w:val="0"/>
              <w:spacing w:before="0" w:after="283"/>
              <w:jc w:val="left"/>
              <w:rPr/>
            </w:pPr>
            <w:r>
              <w:rPr/>
              <w:t>Tier 2 — IT Administrator</w:t>
            </w:r>
          </w:p>
        </w:tc>
        <w:tc>
          <w:tcPr>
            <w:tcW w:w="4930" w:type="dxa"/>
            <w:tcBorders/>
            <w:vAlign w:val="center"/>
          </w:tcPr>
          <w:p>
            <w:pPr>
              <w:pStyle w:val="TableContents"/>
              <w:bidi w:val="0"/>
              <w:spacing w:before="0" w:after="283"/>
              <w:jc w:val="left"/>
              <w:rPr/>
            </w:pPr>
            <w:r>
              <w:rPr/>
              <w:t>Account/access issues (15_Administrator Manual, Section 4), service health checks, known-issue workarounds</w:t>
            </w:r>
          </w:p>
        </w:tc>
        <w:tc>
          <w:tcPr>
            <w:tcW w:w="3631" w:type="dxa"/>
            <w:tcBorders/>
            <w:vAlign w:val="center"/>
          </w:tcPr>
          <w:p>
            <w:pPr>
              <w:pStyle w:val="TableContents"/>
              <w:bidi w:val="0"/>
              <w:spacing w:before="0" w:after="283"/>
              <w:jc w:val="left"/>
              <w:rPr/>
            </w:pPr>
            <w:r>
              <w:rPr/>
              <w:t>Tier 3 for anything requiring a code change or infrastructure-level fix</w:t>
            </w:r>
          </w:p>
        </w:tc>
      </w:tr>
      <w:tr>
        <w:trPr/>
        <w:tc>
          <w:tcPr>
            <w:tcW w:w="2778" w:type="dxa"/>
            <w:tcBorders/>
            <w:vAlign w:val="center"/>
          </w:tcPr>
          <w:p>
            <w:pPr>
              <w:pStyle w:val="TableContents"/>
              <w:bidi w:val="0"/>
              <w:spacing w:before="0" w:after="283"/>
              <w:jc w:val="left"/>
              <w:rPr/>
            </w:pPr>
            <w:r>
              <w:rPr/>
              <w:t>Tier 3 — Development Team / Technology Partner</w:t>
            </w:r>
          </w:p>
        </w:tc>
        <w:tc>
          <w:tcPr>
            <w:tcW w:w="4930" w:type="dxa"/>
            <w:tcBorders/>
            <w:vAlign w:val="center"/>
          </w:tcPr>
          <w:p>
            <w:pPr>
              <w:pStyle w:val="TableContents"/>
              <w:bidi w:val="0"/>
              <w:spacing w:before="0" w:after="283"/>
              <w:jc w:val="left"/>
              <w:rPr/>
            </w:pPr>
            <w:r>
              <w:rPr/>
              <w:t>Defect fixes, security patches, infrastructure changes</w:t>
            </w:r>
          </w:p>
        </w:tc>
        <w:tc>
          <w:tcPr>
            <w:tcW w:w="3631" w:type="dxa"/>
            <w:tcBorders/>
            <w:vAlign w:val="center"/>
          </w:tcPr>
          <w:p>
            <w:pPr>
              <w:pStyle w:val="TableContents"/>
              <w:bidi w:val="0"/>
              <w:spacing w:before="0" w:after="283"/>
              <w:jc w:val="left"/>
              <w:rPr/>
            </w:pPr>
            <w:r>
              <w:rPr/>
              <w:t>Board, for anything with cost or scope implications (Section 9)</w:t>
            </w:r>
          </w:p>
        </w:tc>
      </w:tr>
    </w:tbl>
    <w:p>
      <w:pPr>
        <w:pStyle w:val="Heading2"/>
        <w:bidi w:val="0"/>
        <w:jc w:val="left"/>
        <w:rPr/>
      </w:pPr>
      <w:r>
        <w:rPr/>
        <w:t>4. Service Level Targets</w:t>
      </w:r>
    </w:p>
    <w:p>
      <w:pPr>
        <w:pStyle w:val="BodyText"/>
        <w:bidi w:val="0"/>
        <w:jc w:val="left"/>
        <w:rPr/>
      </w:pPr>
      <w:r>
        <w:rPr/>
        <w:t>Proposed targets, using the same severity scale as 10_Test Plan, Section 9 — these should be formalized in a support agreement with the engaged development team/technology partner once one is contracted (01_Project Proposal, Section 9.3), not treated as already committed.</w:t>
      </w:r>
    </w:p>
    <w:tbl>
      <w:tblPr>
        <w:tblW w:w="11339" w:type="dxa"/>
        <w:jc w:val="left"/>
        <w:tblInd w:w="28" w:type="dxa"/>
        <w:tblLayout w:type="fixed"/>
        <w:tblCellMar>
          <w:top w:w="28" w:type="dxa"/>
          <w:left w:w="28" w:type="dxa"/>
          <w:bottom w:w="28" w:type="dxa"/>
          <w:right w:w="28" w:type="dxa"/>
        </w:tblCellMar>
      </w:tblPr>
      <w:tblGrid>
        <w:gridCol w:w="5287"/>
        <w:gridCol w:w="1955"/>
        <w:gridCol w:w="4097"/>
      </w:tblGrid>
      <w:tr>
        <w:trPr/>
        <w:tc>
          <w:tcPr>
            <w:tcW w:w="5287" w:type="dxa"/>
            <w:tcBorders/>
            <w:vAlign w:val="center"/>
          </w:tcPr>
          <w:p>
            <w:pPr>
              <w:pStyle w:val="TableHeading"/>
              <w:suppressLineNumbers/>
              <w:shd w:fill="1F3864" w:val="clear"/>
              <w:bidi w:val="0"/>
              <w:spacing w:before="0" w:after="283"/>
              <w:jc w:val="left"/>
              <w:rPr/>
            </w:pPr>
            <w:r>
              <w:rPr/>
              <w:t>Severity</w:t>
            </w:r>
          </w:p>
        </w:tc>
        <w:tc>
          <w:tcPr>
            <w:tcW w:w="1955" w:type="dxa"/>
            <w:tcBorders/>
            <w:vAlign w:val="center"/>
          </w:tcPr>
          <w:p>
            <w:pPr>
              <w:pStyle w:val="TableHeading"/>
              <w:suppressLineNumbers/>
              <w:shd w:fill="1F3864" w:val="clear"/>
              <w:bidi w:val="0"/>
              <w:spacing w:before="0" w:after="283"/>
              <w:jc w:val="left"/>
              <w:rPr/>
            </w:pPr>
            <w:r>
              <w:rPr/>
              <w:t>Acknowledge Within</w:t>
            </w:r>
          </w:p>
        </w:tc>
        <w:tc>
          <w:tcPr>
            <w:tcW w:w="4097" w:type="dxa"/>
            <w:tcBorders/>
            <w:vAlign w:val="center"/>
          </w:tcPr>
          <w:p>
            <w:pPr>
              <w:pStyle w:val="TableHeading"/>
              <w:suppressLineNumbers/>
              <w:shd w:fill="1F3864" w:val="clear"/>
              <w:bidi w:val="0"/>
              <w:spacing w:before="0" w:after="283"/>
              <w:jc w:val="left"/>
              <w:rPr/>
            </w:pPr>
            <w:r>
              <w:rPr/>
              <w:t>Target Resolution</w:t>
            </w:r>
          </w:p>
        </w:tc>
      </w:tr>
      <w:tr>
        <w:trPr/>
        <w:tc>
          <w:tcPr>
            <w:tcW w:w="5287" w:type="dxa"/>
            <w:tcBorders/>
            <w:vAlign w:val="center"/>
          </w:tcPr>
          <w:p>
            <w:pPr>
              <w:pStyle w:val="TableContents"/>
              <w:bidi w:val="0"/>
              <w:spacing w:before="0" w:after="283"/>
              <w:jc w:val="left"/>
              <w:rPr/>
            </w:pPr>
            <w:r>
              <w:rPr/>
              <w:t>Critical (data integrity or security)</w:t>
            </w:r>
          </w:p>
        </w:tc>
        <w:tc>
          <w:tcPr>
            <w:tcW w:w="1955" w:type="dxa"/>
            <w:tcBorders/>
            <w:vAlign w:val="center"/>
          </w:tcPr>
          <w:p>
            <w:pPr>
              <w:pStyle w:val="TableContents"/>
              <w:bidi w:val="0"/>
              <w:spacing w:before="0" w:after="283"/>
              <w:jc w:val="left"/>
              <w:rPr/>
            </w:pPr>
            <w:r>
              <w:rPr/>
              <w:t>1 hour</w:t>
            </w:r>
          </w:p>
        </w:tc>
        <w:tc>
          <w:tcPr>
            <w:tcW w:w="4097" w:type="dxa"/>
            <w:tcBorders/>
            <w:vAlign w:val="center"/>
          </w:tcPr>
          <w:p>
            <w:pPr>
              <w:pStyle w:val="TableContents"/>
              <w:bidi w:val="0"/>
              <w:spacing w:before="0" w:after="283"/>
              <w:jc w:val="left"/>
              <w:rPr/>
            </w:pPr>
            <w:r>
              <w:rPr/>
              <w:t>Fix or safe workaround within 24 hours</w:t>
            </w:r>
          </w:p>
        </w:tc>
      </w:tr>
      <w:tr>
        <w:trPr/>
        <w:tc>
          <w:tcPr>
            <w:tcW w:w="5287" w:type="dxa"/>
            <w:tcBorders/>
            <w:vAlign w:val="center"/>
          </w:tcPr>
          <w:p>
            <w:pPr>
              <w:pStyle w:val="TableContents"/>
              <w:bidi w:val="0"/>
              <w:spacing w:before="0" w:after="283"/>
              <w:jc w:val="left"/>
              <w:rPr/>
            </w:pPr>
            <w:r>
              <w:rPr/>
              <w:t>High (a "Must" requirement fails)</w:t>
            </w:r>
          </w:p>
        </w:tc>
        <w:tc>
          <w:tcPr>
            <w:tcW w:w="1955" w:type="dxa"/>
            <w:tcBorders/>
            <w:vAlign w:val="center"/>
          </w:tcPr>
          <w:p>
            <w:pPr>
              <w:pStyle w:val="TableContents"/>
              <w:bidi w:val="0"/>
              <w:spacing w:before="0" w:after="283"/>
              <w:jc w:val="left"/>
              <w:rPr/>
            </w:pPr>
            <w:r>
              <w:rPr/>
              <w:t>4 business hours</w:t>
            </w:r>
          </w:p>
        </w:tc>
        <w:tc>
          <w:tcPr>
            <w:tcW w:w="4097" w:type="dxa"/>
            <w:tcBorders/>
            <w:vAlign w:val="center"/>
          </w:tcPr>
          <w:p>
            <w:pPr>
              <w:pStyle w:val="TableContents"/>
              <w:bidi w:val="0"/>
              <w:spacing w:before="0" w:after="283"/>
              <w:jc w:val="left"/>
              <w:rPr/>
            </w:pPr>
            <w:r>
              <w:rPr/>
              <w:t>Within 3–5 business days</w:t>
            </w:r>
          </w:p>
        </w:tc>
      </w:tr>
      <w:tr>
        <w:trPr/>
        <w:tc>
          <w:tcPr>
            <w:tcW w:w="5287" w:type="dxa"/>
            <w:tcBorders/>
            <w:vAlign w:val="center"/>
          </w:tcPr>
          <w:p>
            <w:pPr>
              <w:pStyle w:val="TableContents"/>
              <w:bidi w:val="0"/>
              <w:spacing w:before="0" w:after="283"/>
              <w:jc w:val="left"/>
              <w:rPr/>
            </w:pPr>
            <w:r>
              <w:rPr/>
              <w:t>Medium (a "Should" requirement fails, or a "Must" has a workaround)</w:t>
            </w:r>
          </w:p>
        </w:tc>
        <w:tc>
          <w:tcPr>
            <w:tcW w:w="1955" w:type="dxa"/>
            <w:tcBorders/>
            <w:vAlign w:val="center"/>
          </w:tcPr>
          <w:p>
            <w:pPr>
              <w:pStyle w:val="TableContents"/>
              <w:bidi w:val="0"/>
              <w:spacing w:before="0" w:after="283"/>
              <w:jc w:val="left"/>
              <w:rPr/>
            </w:pPr>
            <w:r>
              <w:rPr/>
              <w:t>1 business day</w:t>
            </w:r>
          </w:p>
        </w:tc>
        <w:tc>
          <w:tcPr>
            <w:tcW w:w="4097" w:type="dxa"/>
            <w:tcBorders/>
            <w:vAlign w:val="center"/>
          </w:tcPr>
          <w:p>
            <w:pPr>
              <w:pStyle w:val="TableContents"/>
              <w:bidi w:val="0"/>
              <w:spacing w:before="0" w:after="283"/>
              <w:jc w:val="left"/>
              <w:rPr/>
            </w:pPr>
            <w:r>
              <w:rPr/>
              <w:t>Next scheduled release</w:t>
            </w:r>
          </w:p>
        </w:tc>
      </w:tr>
      <w:tr>
        <w:trPr/>
        <w:tc>
          <w:tcPr>
            <w:tcW w:w="5287" w:type="dxa"/>
            <w:tcBorders/>
            <w:vAlign w:val="center"/>
          </w:tcPr>
          <w:p>
            <w:pPr>
              <w:pStyle w:val="TableContents"/>
              <w:bidi w:val="0"/>
              <w:spacing w:before="0" w:after="283"/>
              <w:jc w:val="left"/>
              <w:rPr/>
            </w:pPr>
            <w:r>
              <w:rPr/>
              <w:t>Low (a "Could" requirement, or cosmetic)</w:t>
            </w:r>
          </w:p>
        </w:tc>
        <w:tc>
          <w:tcPr>
            <w:tcW w:w="1955" w:type="dxa"/>
            <w:tcBorders/>
            <w:vAlign w:val="center"/>
          </w:tcPr>
          <w:p>
            <w:pPr>
              <w:pStyle w:val="TableContents"/>
              <w:bidi w:val="0"/>
              <w:spacing w:before="0" w:after="283"/>
              <w:jc w:val="left"/>
              <w:rPr/>
            </w:pPr>
            <w:r>
              <w:rPr/>
              <w:t>3 business days</w:t>
            </w:r>
          </w:p>
        </w:tc>
        <w:tc>
          <w:tcPr>
            <w:tcW w:w="4097" w:type="dxa"/>
            <w:tcBorders/>
            <w:vAlign w:val="center"/>
          </w:tcPr>
          <w:p>
            <w:pPr>
              <w:pStyle w:val="TableContents"/>
              <w:bidi w:val="0"/>
              <w:spacing w:before="0" w:after="283"/>
              <w:jc w:val="left"/>
              <w:rPr/>
            </w:pPr>
            <w:r>
              <w:rPr/>
              <w:t>Scheduled at the team's discretion; may be deferred</w:t>
            </w:r>
          </w:p>
        </w:tc>
      </w:tr>
    </w:tbl>
    <w:p>
      <w:pPr>
        <w:pStyle w:val="Heading2"/>
        <w:bidi w:val="0"/>
        <w:jc w:val="left"/>
        <w:rPr/>
      </w:pPr>
      <w:r>
        <w:rPr/>
        <w:t>5. Post-Launch Hypercare</w:t>
      </w:r>
    </w:p>
    <w:p>
      <w:pPr>
        <w:pStyle w:val="BodyText"/>
        <w:bidi w:val="0"/>
        <w:jc w:val="left"/>
        <w:rPr/>
      </w:pPr>
      <w:r>
        <w:rPr/>
        <w:t xml:space="preserve">Per 11_Deployment Plan, Section 8, the Group's rollout is staged (pilot subsidiary → second subsidiary → remaining companies → full rollout). Each stage gets its own </w:t>
      </w:r>
      <w:r>
        <w:rPr>
          <w:b/>
        </w:rPr>
        <w:t>hypercare period</w:t>
      </w:r>
      <w:r>
        <w:rPr/>
        <w:t xml:space="preserve"> — roughly the first two weeks after that stage goes live — with elevated monitoring and faster informal response than the standard SLA in Section 4, since a new subsidiary's first real usage is when unanticipated issues are most likely to surface. After hypercare, that stage transitions to the standard support tiers in Section 3.</w:t>
      </w:r>
    </w:p>
    <w:p>
      <w:pPr>
        <w:pStyle w:val="Heading2"/>
        <w:bidi w:val="0"/>
        <w:jc w:val="left"/>
        <w:rPr/>
      </w:pPr>
      <w:r>
        <w:rPr/>
        <w:t>6. Routine Maintenance Schedule</w:t>
      </w:r>
    </w:p>
    <w:tbl>
      <w:tblPr>
        <w:tblW w:w="11339" w:type="dxa"/>
        <w:jc w:val="left"/>
        <w:tblInd w:w="28" w:type="dxa"/>
        <w:tblLayout w:type="fixed"/>
        <w:tblCellMar>
          <w:top w:w="28" w:type="dxa"/>
          <w:left w:w="28" w:type="dxa"/>
          <w:bottom w:w="28" w:type="dxa"/>
          <w:right w:w="28" w:type="dxa"/>
        </w:tblCellMar>
      </w:tblPr>
      <w:tblGrid>
        <w:gridCol w:w="1137"/>
        <w:gridCol w:w="7352"/>
        <w:gridCol w:w="2850"/>
      </w:tblGrid>
      <w:tr>
        <w:trPr/>
        <w:tc>
          <w:tcPr>
            <w:tcW w:w="1137" w:type="dxa"/>
            <w:tcBorders/>
            <w:vAlign w:val="center"/>
          </w:tcPr>
          <w:p>
            <w:pPr>
              <w:pStyle w:val="TableHeading"/>
              <w:suppressLineNumbers/>
              <w:shd w:fill="1F3864" w:val="clear"/>
              <w:bidi w:val="0"/>
              <w:spacing w:before="0" w:after="283"/>
              <w:jc w:val="left"/>
              <w:rPr/>
            </w:pPr>
            <w:r>
              <w:rPr/>
              <w:t>Frequency</w:t>
            </w:r>
          </w:p>
        </w:tc>
        <w:tc>
          <w:tcPr>
            <w:tcW w:w="7352" w:type="dxa"/>
            <w:tcBorders/>
            <w:vAlign w:val="center"/>
          </w:tcPr>
          <w:p>
            <w:pPr>
              <w:pStyle w:val="TableHeading"/>
              <w:suppressLineNumbers/>
              <w:shd w:fill="1F3864" w:val="clear"/>
              <w:bidi w:val="0"/>
              <w:spacing w:before="0" w:after="283"/>
              <w:jc w:val="left"/>
              <w:rPr/>
            </w:pPr>
            <w:r>
              <w:rPr/>
              <w:t>Activity</w:t>
            </w:r>
          </w:p>
        </w:tc>
        <w:tc>
          <w:tcPr>
            <w:tcW w:w="2850" w:type="dxa"/>
            <w:tcBorders/>
            <w:vAlign w:val="center"/>
          </w:tcPr>
          <w:p>
            <w:pPr>
              <w:pStyle w:val="TableHeading"/>
              <w:suppressLineNumbers/>
              <w:shd w:fill="1F3864" w:val="clear"/>
              <w:bidi w:val="0"/>
              <w:spacing w:before="0" w:after="283"/>
              <w:jc w:val="left"/>
              <w:rPr/>
            </w:pPr>
            <w:r>
              <w:rPr/>
              <w:t>Reference</w:t>
            </w:r>
          </w:p>
        </w:tc>
      </w:tr>
      <w:tr>
        <w:trPr/>
        <w:tc>
          <w:tcPr>
            <w:tcW w:w="1137" w:type="dxa"/>
            <w:tcBorders/>
            <w:vAlign w:val="center"/>
          </w:tcPr>
          <w:p>
            <w:pPr>
              <w:pStyle w:val="TableContents"/>
              <w:bidi w:val="0"/>
              <w:spacing w:before="0" w:after="283"/>
              <w:jc w:val="left"/>
              <w:rPr/>
            </w:pPr>
            <w:r>
              <w:rPr/>
              <w:t>Daily</w:t>
            </w:r>
          </w:p>
        </w:tc>
        <w:tc>
          <w:tcPr>
            <w:tcW w:w="7352" w:type="dxa"/>
            <w:tcBorders/>
            <w:vAlign w:val="center"/>
          </w:tcPr>
          <w:p>
            <w:pPr>
              <w:pStyle w:val="TableContents"/>
              <w:bidi w:val="0"/>
              <w:spacing w:before="0" w:after="283"/>
              <w:jc w:val="left"/>
              <w:rPr/>
            </w:pPr>
            <w:r>
              <w:rPr/>
              <w:t>Review Grafana dashboards; confirm backups completed</w:t>
            </w:r>
          </w:p>
        </w:tc>
        <w:tc>
          <w:tcPr>
            <w:tcW w:w="2850" w:type="dxa"/>
            <w:tcBorders/>
            <w:vAlign w:val="center"/>
          </w:tcPr>
          <w:p>
            <w:pPr>
              <w:pStyle w:val="TableContents"/>
              <w:bidi w:val="0"/>
              <w:spacing w:before="0" w:after="283"/>
              <w:jc w:val="left"/>
              <w:rPr/>
            </w:pPr>
            <w:r>
              <w:rPr/>
              <w:t>15_Administrator Manual, Sections 5–6</w:t>
            </w:r>
          </w:p>
        </w:tc>
      </w:tr>
      <w:tr>
        <w:trPr/>
        <w:tc>
          <w:tcPr>
            <w:tcW w:w="1137" w:type="dxa"/>
            <w:tcBorders/>
            <w:vAlign w:val="center"/>
          </w:tcPr>
          <w:p>
            <w:pPr>
              <w:pStyle w:val="TableContents"/>
              <w:bidi w:val="0"/>
              <w:spacing w:before="0" w:after="283"/>
              <w:jc w:val="left"/>
              <w:rPr/>
            </w:pPr>
            <w:r>
              <w:rPr/>
              <w:t>Weekly</w:t>
            </w:r>
          </w:p>
        </w:tc>
        <w:tc>
          <w:tcPr>
            <w:tcW w:w="7352" w:type="dxa"/>
            <w:tcBorders/>
            <w:vAlign w:val="center"/>
          </w:tcPr>
          <w:p>
            <w:pPr>
              <w:pStyle w:val="TableContents"/>
              <w:bidi w:val="0"/>
              <w:spacing w:before="0" w:after="283"/>
              <w:jc w:val="left"/>
              <w:rPr/>
            </w:pPr>
            <w:r>
              <w:rPr/>
              <w:t>Check Kafka consumer lag; review failed-login/lockout patterns in the audit trail</w:t>
            </w:r>
          </w:p>
        </w:tc>
        <w:tc>
          <w:tcPr>
            <w:tcW w:w="2850" w:type="dxa"/>
            <w:tcBorders/>
            <w:vAlign w:val="center"/>
          </w:tcPr>
          <w:p>
            <w:pPr>
              <w:pStyle w:val="TableContents"/>
              <w:bidi w:val="0"/>
              <w:spacing w:before="0" w:after="283"/>
              <w:jc w:val="left"/>
              <w:rPr/>
            </w:pPr>
            <w:r>
              <w:rPr/>
              <w:t>15_Administrator Manual, Sections 5, 10</w:t>
            </w:r>
          </w:p>
        </w:tc>
      </w:tr>
      <w:tr>
        <w:trPr/>
        <w:tc>
          <w:tcPr>
            <w:tcW w:w="1137" w:type="dxa"/>
            <w:tcBorders/>
            <w:vAlign w:val="center"/>
          </w:tcPr>
          <w:p>
            <w:pPr>
              <w:pStyle w:val="TableContents"/>
              <w:bidi w:val="0"/>
              <w:spacing w:before="0" w:after="283"/>
              <w:jc w:val="left"/>
              <w:rPr/>
            </w:pPr>
            <w:r>
              <w:rPr/>
              <w:t>Monthly</w:t>
            </w:r>
          </w:p>
        </w:tc>
        <w:tc>
          <w:tcPr>
            <w:tcW w:w="7352" w:type="dxa"/>
            <w:tcBorders/>
            <w:vAlign w:val="center"/>
          </w:tcPr>
          <w:p>
            <w:pPr>
              <w:pStyle w:val="TableContents"/>
              <w:bidi w:val="0"/>
              <w:spacing w:before="0" w:after="283"/>
              <w:jc w:val="left"/>
              <w:rPr/>
            </w:pPr>
            <w:r>
              <w:rPr/>
              <w:t>Review and apply available security patches to dependencies and base container images; review performance trends</w:t>
            </w:r>
          </w:p>
        </w:tc>
        <w:tc>
          <w:tcPr>
            <w:tcW w:w="2850" w:type="dxa"/>
            <w:tcBorders/>
            <w:vAlign w:val="center"/>
          </w:tcPr>
          <w:p>
            <w:pPr>
              <w:pStyle w:val="TableContents"/>
              <w:bidi w:val="0"/>
              <w:spacing w:before="0" w:after="283"/>
              <w:jc w:val="left"/>
              <w:rPr/>
            </w:pPr>
            <w:r>
              <w:rPr/>
              <w:t>Section 7 below</w:t>
            </w:r>
          </w:p>
        </w:tc>
      </w:tr>
      <w:tr>
        <w:trPr/>
        <w:tc>
          <w:tcPr>
            <w:tcW w:w="1137" w:type="dxa"/>
            <w:tcBorders/>
            <w:vAlign w:val="center"/>
          </w:tcPr>
          <w:p>
            <w:pPr>
              <w:pStyle w:val="TableContents"/>
              <w:bidi w:val="0"/>
              <w:spacing w:before="0" w:after="283"/>
              <w:jc w:val="left"/>
              <w:rPr/>
            </w:pPr>
            <w:r>
              <w:rPr/>
              <w:t>Quarterly</w:t>
            </w:r>
          </w:p>
        </w:tc>
        <w:tc>
          <w:tcPr>
            <w:tcW w:w="7352" w:type="dxa"/>
            <w:tcBorders/>
            <w:vAlign w:val="center"/>
          </w:tcPr>
          <w:p>
            <w:pPr>
              <w:pStyle w:val="TableContents"/>
              <w:bidi w:val="0"/>
              <w:spacing w:before="0" w:after="283"/>
              <w:jc w:val="left"/>
              <w:rPr/>
            </w:pPr>
            <w:r>
              <w:rPr/>
              <w:t>Access review (remove stale scopes/roles); test backup restoration on a non-production instance; review rate-limit thresholds against real traffic</w:t>
            </w:r>
          </w:p>
        </w:tc>
        <w:tc>
          <w:tcPr>
            <w:tcW w:w="2850" w:type="dxa"/>
            <w:tcBorders/>
            <w:vAlign w:val="center"/>
          </w:tcPr>
          <w:p>
            <w:pPr>
              <w:pStyle w:val="TableContents"/>
              <w:bidi w:val="0"/>
              <w:spacing w:before="0" w:after="283"/>
              <w:jc w:val="left"/>
              <w:rPr/>
            </w:pPr>
            <w:r>
              <w:rPr/>
              <w:t>15_Administrator Manual, Sections 4, 6, 10</w:t>
            </w:r>
          </w:p>
        </w:tc>
      </w:tr>
      <w:tr>
        <w:trPr/>
        <w:tc>
          <w:tcPr>
            <w:tcW w:w="1137" w:type="dxa"/>
            <w:tcBorders/>
            <w:vAlign w:val="center"/>
          </w:tcPr>
          <w:p>
            <w:pPr>
              <w:pStyle w:val="TableContents"/>
              <w:bidi w:val="0"/>
              <w:spacing w:before="0" w:after="283"/>
              <w:jc w:val="left"/>
              <w:rPr/>
            </w:pPr>
            <w:r>
              <w:rPr/>
              <w:t>Annually</w:t>
            </w:r>
          </w:p>
        </w:tc>
        <w:tc>
          <w:tcPr>
            <w:tcW w:w="7352" w:type="dxa"/>
            <w:tcBorders/>
            <w:vAlign w:val="center"/>
          </w:tcPr>
          <w:p>
            <w:pPr>
              <w:pStyle w:val="TableContents"/>
              <w:bidi w:val="0"/>
              <w:spacing w:before="0" w:after="283"/>
              <w:jc w:val="left"/>
              <w:rPr/>
            </w:pPr>
            <w:r>
              <w:rPr/>
              <w:t>Full security review (including a data-protection compliance check); disaster-recovery test; review infrastructure cost against actual usage</w:t>
            </w:r>
          </w:p>
        </w:tc>
        <w:tc>
          <w:tcPr>
            <w:tcW w:w="2850" w:type="dxa"/>
            <w:tcBorders/>
            <w:vAlign w:val="center"/>
          </w:tcPr>
          <w:p>
            <w:pPr>
              <w:pStyle w:val="TableContents"/>
              <w:bidi w:val="0"/>
              <w:spacing w:before="0" w:after="283"/>
              <w:jc w:val="left"/>
              <w:rPr/>
            </w:pPr>
            <w:r>
              <w:rPr/>
              <w:t>03_Feasibility Study, Section 7</w:t>
            </w:r>
          </w:p>
        </w:tc>
      </w:tr>
    </w:tbl>
    <w:p>
      <w:pPr>
        <w:pStyle w:val="Heading2"/>
        <w:bidi w:val="0"/>
        <w:jc w:val="left"/>
        <w:rPr/>
      </w:pPr>
      <w:r>
        <w:rPr/>
        <w:t>7. Security Update Management</w:t>
      </w:r>
    </w:p>
    <w:p>
      <w:pPr>
        <w:pStyle w:val="BodyText"/>
        <w:numPr>
          <w:ilvl w:val="0"/>
          <w:numId w:val="1"/>
        </w:numPr>
        <w:tabs>
          <w:tab w:val="clear" w:pos="1134"/>
          <w:tab w:val="left" w:pos="709" w:leader="none"/>
        </w:tabs>
        <w:bidi w:val="0"/>
        <w:spacing w:before="0" w:after="0"/>
        <w:ind w:hanging="283" w:left="709"/>
        <w:jc w:val="left"/>
        <w:rPr/>
      </w:pPr>
      <w:r>
        <w:rPr/>
        <w:t xml:space="preserve">Dependency and base-image vulnerabilities are reviewed monthly at minimum, and immediately on notification of a Critical vulnerability affecting a component MBMS uses. </w:t>
      </w:r>
    </w:p>
    <w:p>
      <w:pPr>
        <w:pStyle w:val="BodyText"/>
        <w:numPr>
          <w:ilvl w:val="0"/>
          <w:numId w:val="1"/>
        </w:numPr>
        <w:tabs>
          <w:tab w:val="clear" w:pos="1134"/>
          <w:tab w:val="left" w:pos="709" w:leader="none"/>
        </w:tabs>
        <w:bidi w:val="0"/>
        <w:spacing w:before="0" w:after="0"/>
        <w:ind w:hanging="283" w:left="709"/>
        <w:jc w:val="left"/>
        <w:rPr/>
      </w:pPr>
      <w:r>
        <w:rPr/>
        <w:t xml:space="preserve">Security patches follow the same rolling, per-service deployment process as any other release (11_Deployment Plan, Section 5) — they do not require a maintenance window. </w:t>
      </w:r>
    </w:p>
    <w:p>
      <w:pPr>
        <w:pStyle w:val="BodyText"/>
        <w:numPr>
          <w:ilvl w:val="0"/>
          <w:numId w:val="1"/>
        </w:numPr>
        <w:tabs>
          <w:tab w:val="clear" w:pos="1134"/>
          <w:tab w:val="left" w:pos="709" w:leader="none"/>
        </w:tabs>
        <w:bidi w:val="0"/>
        <w:ind w:hanging="283" w:left="709"/>
        <w:jc w:val="left"/>
        <w:rPr/>
      </w:pPr>
      <w:r>
        <w:rPr/>
        <w:t xml:space="preserve">A Critical security vulnerability with a known active exploit is treated as Emergency maintenance (Section 2), not scheduled into the next routine cycle. </w:t>
      </w:r>
    </w:p>
    <w:p>
      <w:pPr>
        <w:pStyle w:val="Heading2"/>
        <w:bidi w:val="0"/>
        <w:jc w:val="left"/>
        <w:rPr/>
      </w:pPr>
      <w:r>
        <w:rPr/>
        <w:t>8. Change Management Process</w:t>
      </w:r>
    </w:p>
    <w:p>
      <w:pPr>
        <w:pStyle w:val="BodyText"/>
        <w:numPr>
          <w:ilvl w:val="0"/>
          <w:numId w:val="2"/>
        </w:numPr>
        <w:tabs>
          <w:tab w:val="clear" w:pos="1134"/>
          <w:tab w:val="left" w:pos="709" w:leader="none"/>
        </w:tabs>
        <w:bidi w:val="0"/>
        <w:spacing w:before="0" w:after="0"/>
        <w:ind w:hanging="283" w:left="709"/>
        <w:jc w:val="left"/>
        <w:rPr/>
      </w:pPr>
      <w:r>
        <w:rPr/>
        <w:t xml:space="preserve">A maintenance request (bug fix, minor enhancement) is logged and severity-classified (Section 4). </w:t>
      </w:r>
    </w:p>
    <w:p>
      <w:pPr>
        <w:pStyle w:val="BodyText"/>
        <w:numPr>
          <w:ilvl w:val="0"/>
          <w:numId w:val="2"/>
        </w:numPr>
        <w:tabs>
          <w:tab w:val="clear" w:pos="1134"/>
          <w:tab w:val="left" w:pos="709" w:leader="none"/>
        </w:tabs>
        <w:bidi w:val="0"/>
        <w:spacing w:before="0" w:after="0"/>
        <w:ind w:hanging="283" w:left="709"/>
        <w:jc w:val="left"/>
        <w:rPr/>
      </w:pPr>
      <w:r>
        <w:rPr/>
        <w:t xml:space="preserve">Tier 2/3 confirms it is genuinely maintenance and not new Phase 2+ scope (Section 2's boundary note) — if it's the latter, it is redirected to the Board approval process instead. </w:t>
      </w:r>
    </w:p>
    <w:p>
      <w:pPr>
        <w:pStyle w:val="BodyText"/>
        <w:numPr>
          <w:ilvl w:val="0"/>
          <w:numId w:val="2"/>
        </w:numPr>
        <w:tabs>
          <w:tab w:val="clear" w:pos="1134"/>
          <w:tab w:val="left" w:pos="709" w:leader="none"/>
        </w:tabs>
        <w:bidi w:val="0"/>
        <w:spacing w:before="0" w:after="0"/>
        <w:ind w:hanging="283" w:left="709"/>
        <w:jc w:val="left"/>
        <w:rPr/>
      </w:pPr>
      <w:r>
        <w:rPr/>
        <w:t xml:space="preserve">Approved maintenance work is scheduled into the next appropriate release per its severity (Section 4), following the same per-service CI/CD pipeline as any other change (11_Deployment Plan, Section 5). </w:t>
      </w:r>
    </w:p>
    <w:p>
      <w:pPr>
        <w:pStyle w:val="BodyText"/>
        <w:numPr>
          <w:ilvl w:val="0"/>
          <w:numId w:val="2"/>
        </w:numPr>
        <w:tabs>
          <w:tab w:val="clear" w:pos="1134"/>
          <w:tab w:val="left" w:pos="709" w:leader="none"/>
        </w:tabs>
        <w:bidi w:val="0"/>
        <w:ind w:hanging="283" w:left="709"/>
        <w:jc w:val="left"/>
        <w:rPr/>
      </w:pPr>
      <w:r>
        <w:rPr/>
        <w:t xml:space="preserve">Significant perfective changes (e.g. a meaningful workflow change, not just a fix) are reviewed against 04_Software Requirements Specification to confirm they don't silently drift the system away from its documented requirements without the SRS being updated to match. </w:t>
      </w:r>
    </w:p>
    <w:p>
      <w:pPr>
        <w:pStyle w:val="Heading2"/>
        <w:bidi w:val="0"/>
        <w:jc w:val="left"/>
        <w:rPr/>
      </w:pPr>
      <w:r>
        <w:rPr/>
        <w:t>9. Budget Implications</w:t>
      </w:r>
    </w:p>
    <w:p>
      <w:pPr>
        <w:pStyle w:val="BodyText"/>
        <w:bidi w:val="0"/>
        <w:jc w:val="left"/>
        <w:rPr/>
      </w:pPr>
      <w:r>
        <w:rPr/>
        <w:t>01_Project Proposal, Section 9.1 already identified Maintenance &amp; Support as "typically the largest ongoing (post-launch) cost" and recurring. Now that Phase 1 is live, this plan turns that cost category into an operating reality: the Group should budget for Tier 3 development-partner time (Section 3), infrastructure costs that continue regardless of whether new features are being built (07_System Design Document, Section 11), and the periodic reviews in Section 6. This is a standing line item, not a one-time project cost, and should be reflected in the Group's ongoing operating budget, not treated as part of the original Phase 1 development spend.</w:t>
      </w:r>
    </w:p>
    <w:p>
      <w:pPr>
        <w:pStyle w:val="Heading2"/>
        <w:bidi w:val="0"/>
        <w:jc w:val="left"/>
        <w:rPr/>
      </w:pPr>
      <w:r>
        <w:rPr/>
        <w:t>10. Documentation Maintenance</w:t>
      </w:r>
    </w:p>
    <w:p>
      <w:pPr>
        <w:pStyle w:val="BodyText"/>
        <w:bidi w:val="0"/>
        <w:spacing w:before="150" w:after="150"/>
        <w:ind w:hanging="0" w:left="150" w:right="150"/>
        <w:jc w:val="left"/>
        <w:rPr>
          <w:sz w:val="21"/>
          <w:bdr w:val="single" w:sz="24" w:space="9" w:color="2E7D4F"/>
          <w:shd w:fill="E7F5EA" w:val="clear"/>
        </w:rPr>
      </w:pPr>
      <w:r>
        <w:rPr>
          <w:sz w:val="21"/>
          <w:bdr w:val="single" w:sz="24" w:space="9" w:color="2E7D4F"/>
          <w:shd w:fill="E7F5EA" w:val="clear"/>
        </w:rPr>
        <w:t>This project has produced sixteen documents before this one (01 through 15, plus this Maintenance Plan as the seventeenth and final required document). They do not stay accurate on their own. As Phase 2+ work begins, or as Phase 1 itself is maintained under this plan:</w:t>
      </w:r>
    </w:p>
    <w:p>
      <w:pPr>
        <w:pStyle w:val="BodyText"/>
        <w:numPr>
          <w:ilvl w:val="0"/>
          <w:numId w:val="3"/>
        </w:numPr>
        <w:tabs>
          <w:tab w:val="clear" w:pos="1134"/>
          <w:tab w:val="left" w:pos="709" w:leader="none"/>
        </w:tabs>
        <w:bidi w:val="0"/>
        <w:spacing w:before="0" w:after="0"/>
        <w:ind w:hanging="283" w:left="709"/>
        <w:jc w:val="left"/>
        <w:rPr/>
      </w:pPr>
      <w:r>
        <w:rPr/>
        <w:t xml:space="preserve">04_Software Requirements Specification and 09_API Specification should be updated whenever a change under Section 8 alters what the system actually does, not left to silently diverge from the running system. </w:t>
      </w:r>
    </w:p>
    <w:p>
      <w:pPr>
        <w:pStyle w:val="BodyText"/>
        <w:numPr>
          <w:ilvl w:val="0"/>
          <w:numId w:val="3"/>
        </w:numPr>
        <w:tabs>
          <w:tab w:val="clear" w:pos="1134"/>
          <w:tab w:val="left" w:pos="709" w:leader="none"/>
        </w:tabs>
        <w:bidi w:val="0"/>
        <w:spacing w:before="0" w:after="0"/>
        <w:ind w:hanging="283" w:left="709"/>
        <w:jc w:val="left"/>
        <w:rPr/>
      </w:pPr>
      <w:r>
        <w:rPr/>
        <w:t xml:space="preserve">15_Administrator Manual's runbooks (Section 7) should be re-validated periodically — a runbook that was correct at go-live can go stale as infrastructure evolves. </w:t>
      </w:r>
    </w:p>
    <w:p>
      <w:pPr>
        <w:pStyle w:val="BodyText"/>
        <w:numPr>
          <w:ilvl w:val="0"/>
          <w:numId w:val="3"/>
        </w:numPr>
        <w:tabs>
          <w:tab w:val="clear" w:pos="1134"/>
          <w:tab w:val="left" w:pos="709" w:leader="none"/>
        </w:tabs>
        <w:bidi w:val="0"/>
        <w:spacing w:before="0" w:after="0"/>
        <w:ind w:hanging="283" w:left="709"/>
        <w:jc w:val="left"/>
        <w:rPr/>
      </w:pPr>
      <w:r>
        <w:rPr/>
        <w:t xml:space="preserve">14_User Manual should be updated whenever a Phase 2+ module goes live, since its current "what's not built yet" list (Section 1) will no longer be accurate. </w:t>
      </w:r>
    </w:p>
    <w:p>
      <w:pPr>
        <w:pStyle w:val="BodyText"/>
        <w:numPr>
          <w:ilvl w:val="0"/>
          <w:numId w:val="3"/>
        </w:numPr>
        <w:tabs>
          <w:tab w:val="clear" w:pos="1134"/>
          <w:tab w:val="left" w:pos="709" w:leader="none"/>
        </w:tabs>
        <w:bidi w:val="0"/>
        <w:ind w:hanging="283" w:left="709"/>
        <w:jc w:val="left"/>
        <w:rPr/>
      </w:pPr>
      <w:r>
        <w:rPr/>
        <w:t xml:space="preserve">Ownership of keeping this documentation set current should sit with whoever holds the Director/project-coordination role at the time, consistent with how this entire document set has been prepared and maintained to date. </w:t>
      </w:r>
    </w:p>
    <w:p>
      <w:pPr>
        <w:pStyle w:val="Heading2"/>
        <w:bidi w:val="0"/>
        <w:jc w:val="left"/>
        <w:rPr/>
      </w:pPr>
      <w:r>
        <w:rPr/>
        <w:t>11. Roles and Responsibilities</w:t>
      </w:r>
    </w:p>
    <w:tbl>
      <w:tblPr>
        <w:tblW w:w="11339" w:type="dxa"/>
        <w:jc w:val="left"/>
        <w:tblInd w:w="28" w:type="dxa"/>
        <w:tblLayout w:type="fixed"/>
        <w:tblCellMar>
          <w:top w:w="28" w:type="dxa"/>
          <w:left w:w="28" w:type="dxa"/>
          <w:bottom w:w="28" w:type="dxa"/>
          <w:right w:w="28" w:type="dxa"/>
        </w:tblCellMar>
      </w:tblPr>
      <w:tblGrid>
        <w:gridCol w:w="3003"/>
        <w:gridCol w:w="8336"/>
      </w:tblGrid>
      <w:tr>
        <w:trPr/>
        <w:tc>
          <w:tcPr>
            <w:tcW w:w="3003" w:type="dxa"/>
            <w:tcBorders/>
            <w:vAlign w:val="center"/>
          </w:tcPr>
          <w:p>
            <w:pPr>
              <w:pStyle w:val="TableHeading"/>
              <w:suppressLineNumbers/>
              <w:shd w:fill="1F3864" w:val="clear"/>
              <w:bidi w:val="0"/>
              <w:spacing w:before="0" w:after="283"/>
              <w:jc w:val="left"/>
              <w:rPr/>
            </w:pPr>
            <w:r>
              <w:rPr/>
              <w:t>Role</w:t>
            </w:r>
          </w:p>
        </w:tc>
        <w:tc>
          <w:tcPr>
            <w:tcW w:w="8336" w:type="dxa"/>
            <w:tcBorders/>
            <w:vAlign w:val="center"/>
          </w:tcPr>
          <w:p>
            <w:pPr>
              <w:pStyle w:val="TableHeading"/>
              <w:suppressLineNumbers/>
              <w:shd w:fill="1F3864" w:val="clear"/>
              <w:bidi w:val="0"/>
              <w:spacing w:before="0" w:after="283"/>
              <w:jc w:val="left"/>
              <w:rPr/>
            </w:pPr>
            <w:r>
              <w:rPr/>
              <w:t>Maintenance Responsibility</w:t>
            </w:r>
          </w:p>
        </w:tc>
      </w:tr>
      <w:tr>
        <w:trPr/>
        <w:tc>
          <w:tcPr>
            <w:tcW w:w="3003" w:type="dxa"/>
            <w:tcBorders/>
            <w:vAlign w:val="center"/>
          </w:tcPr>
          <w:p>
            <w:pPr>
              <w:pStyle w:val="TableContents"/>
              <w:bidi w:val="0"/>
              <w:spacing w:before="0" w:after="283"/>
              <w:jc w:val="left"/>
              <w:rPr/>
            </w:pPr>
            <w:r>
              <w:rPr/>
              <w:t>IT Administrator</w:t>
            </w:r>
          </w:p>
        </w:tc>
        <w:tc>
          <w:tcPr>
            <w:tcW w:w="8336" w:type="dxa"/>
            <w:tcBorders/>
            <w:vAlign w:val="center"/>
          </w:tcPr>
          <w:p>
            <w:pPr>
              <w:pStyle w:val="TableContents"/>
              <w:bidi w:val="0"/>
              <w:spacing w:before="0" w:after="283"/>
              <w:jc w:val="left"/>
              <w:rPr/>
            </w:pPr>
            <w:r>
              <w:rPr/>
              <w:t>Tier 2 support; routine schedule execution (Section 6); first point of contact for escalation</w:t>
            </w:r>
          </w:p>
        </w:tc>
      </w:tr>
      <w:tr>
        <w:trPr/>
        <w:tc>
          <w:tcPr>
            <w:tcW w:w="3003" w:type="dxa"/>
            <w:tcBorders/>
            <w:vAlign w:val="center"/>
          </w:tcPr>
          <w:p>
            <w:pPr>
              <w:pStyle w:val="TableContents"/>
              <w:bidi w:val="0"/>
              <w:spacing w:before="0" w:after="283"/>
              <w:jc w:val="left"/>
              <w:rPr/>
            </w:pPr>
            <w:r>
              <w:rPr/>
              <w:t>Development Team / Technology Partner</w:t>
            </w:r>
          </w:p>
        </w:tc>
        <w:tc>
          <w:tcPr>
            <w:tcW w:w="8336" w:type="dxa"/>
            <w:tcBorders/>
            <w:vAlign w:val="center"/>
          </w:tcPr>
          <w:p>
            <w:pPr>
              <w:pStyle w:val="TableContents"/>
              <w:bidi w:val="0"/>
              <w:spacing w:before="0" w:after="283"/>
              <w:jc w:val="left"/>
              <w:rPr/>
            </w:pPr>
            <w:r>
              <w:rPr/>
              <w:t>Tier 3 support; corrective/adaptive/perfective work; security patching (Section 7)</w:t>
            </w:r>
          </w:p>
        </w:tc>
      </w:tr>
      <w:tr>
        <w:trPr/>
        <w:tc>
          <w:tcPr>
            <w:tcW w:w="3003" w:type="dxa"/>
            <w:tcBorders/>
            <w:vAlign w:val="center"/>
          </w:tcPr>
          <w:p>
            <w:pPr>
              <w:pStyle w:val="TableContents"/>
              <w:bidi w:val="0"/>
              <w:spacing w:before="0" w:after="283"/>
              <w:jc w:val="left"/>
              <w:rPr/>
            </w:pPr>
            <w:r>
              <w:rPr/>
              <w:t>Finance Manager</w:t>
            </w:r>
          </w:p>
        </w:tc>
        <w:tc>
          <w:tcPr>
            <w:tcW w:w="8336" w:type="dxa"/>
            <w:tcBorders/>
            <w:vAlign w:val="center"/>
          </w:tcPr>
          <w:p>
            <w:pPr>
              <w:pStyle w:val="TableContents"/>
              <w:bidi w:val="0"/>
              <w:spacing w:before="0" w:after="283"/>
              <w:jc w:val="left"/>
              <w:rPr/>
            </w:pPr>
            <w:r>
              <w:rPr/>
              <w:t>Sign-off on any maintenance action affecting posted financial data (per 15_Administrator Manual, Section 6)</w:t>
            </w:r>
          </w:p>
        </w:tc>
      </w:tr>
      <w:tr>
        <w:trPr/>
        <w:tc>
          <w:tcPr>
            <w:tcW w:w="3003" w:type="dxa"/>
            <w:tcBorders/>
            <w:vAlign w:val="center"/>
          </w:tcPr>
          <w:p>
            <w:pPr>
              <w:pStyle w:val="TableContents"/>
              <w:bidi w:val="0"/>
              <w:spacing w:before="0" w:after="283"/>
              <w:jc w:val="left"/>
              <w:rPr/>
            </w:pPr>
            <w:r>
              <w:rPr/>
              <w:t>Director / Project Coordinator</w:t>
            </w:r>
          </w:p>
        </w:tc>
        <w:tc>
          <w:tcPr>
            <w:tcW w:w="8336" w:type="dxa"/>
            <w:tcBorders/>
            <w:vAlign w:val="center"/>
          </w:tcPr>
          <w:p>
            <w:pPr>
              <w:pStyle w:val="TableContents"/>
              <w:bidi w:val="0"/>
              <w:spacing w:before="0" w:after="283"/>
              <w:jc w:val="left"/>
              <w:rPr/>
            </w:pPr>
            <w:r>
              <w:rPr/>
              <w:t>Owns the Section 2 boundary between maintenance and new scope; owns documentation currency (Section 10)</w:t>
            </w:r>
          </w:p>
        </w:tc>
      </w:tr>
      <w:tr>
        <w:trPr/>
        <w:tc>
          <w:tcPr>
            <w:tcW w:w="3003" w:type="dxa"/>
            <w:tcBorders/>
            <w:vAlign w:val="center"/>
          </w:tcPr>
          <w:p>
            <w:pPr>
              <w:pStyle w:val="TableContents"/>
              <w:bidi w:val="0"/>
              <w:spacing w:before="0" w:after="283"/>
              <w:jc w:val="left"/>
              <w:rPr/>
            </w:pPr>
            <w:r>
              <w:rPr/>
              <w:t>Board of Directors</w:t>
            </w:r>
          </w:p>
        </w:tc>
        <w:tc>
          <w:tcPr>
            <w:tcW w:w="8336" w:type="dxa"/>
            <w:tcBorders/>
            <w:vAlign w:val="center"/>
          </w:tcPr>
          <w:p>
            <w:pPr>
              <w:pStyle w:val="TableContents"/>
              <w:bidi w:val="0"/>
              <w:spacing w:before="0" w:after="283"/>
              <w:jc w:val="left"/>
              <w:rPr/>
            </w:pPr>
            <w:r>
              <w:rPr/>
              <w:t>Approves the ongoing maintenance budget (Section 9); informed of any Critical incident per 15_Administrator Manual, Section 12</w:t>
            </w:r>
          </w:p>
        </w:tc>
      </w:tr>
    </w:tbl>
    <w:p>
      <w:pPr>
        <w:pStyle w:val="Heading2"/>
        <w:bidi w:val="0"/>
        <w:jc w:val="left"/>
        <w:rPr/>
      </w:pPr>
      <w:r>
        <w:rPr/>
        <w:t>12. Risks to Ongoing Maintenance</w:t>
      </w:r>
    </w:p>
    <w:tbl>
      <w:tblPr>
        <w:tblW w:w="11339" w:type="dxa"/>
        <w:jc w:val="left"/>
        <w:tblInd w:w="28" w:type="dxa"/>
        <w:tblLayout w:type="fixed"/>
        <w:tblCellMar>
          <w:top w:w="28" w:type="dxa"/>
          <w:left w:w="28" w:type="dxa"/>
          <w:bottom w:w="28" w:type="dxa"/>
          <w:right w:w="28" w:type="dxa"/>
        </w:tblCellMar>
      </w:tblPr>
      <w:tblGrid>
        <w:gridCol w:w="4840"/>
        <w:gridCol w:w="6499"/>
      </w:tblGrid>
      <w:tr>
        <w:trPr/>
        <w:tc>
          <w:tcPr>
            <w:tcW w:w="4840" w:type="dxa"/>
            <w:tcBorders/>
            <w:vAlign w:val="center"/>
          </w:tcPr>
          <w:p>
            <w:pPr>
              <w:pStyle w:val="TableHeading"/>
              <w:suppressLineNumbers/>
              <w:shd w:fill="1F3864" w:val="clear"/>
              <w:bidi w:val="0"/>
              <w:spacing w:before="0" w:after="283"/>
              <w:jc w:val="left"/>
              <w:rPr/>
            </w:pPr>
            <w:r>
              <w:rPr/>
              <w:t>Risk</w:t>
            </w:r>
          </w:p>
        </w:tc>
        <w:tc>
          <w:tcPr>
            <w:tcW w:w="6499" w:type="dxa"/>
            <w:tcBorders/>
            <w:vAlign w:val="center"/>
          </w:tcPr>
          <w:p>
            <w:pPr>
              <w:pStyle w:val="TableHeading"/>
              <w:suppressLineNumbers/>
              <w:shd w:fill="1F3864" w:val="clear"/>
              <w:bidi w:val="0"/>
              <w:spacing w:before="0" w:after="283"/>
              <w:jc w:val="left"/>
              <w:rPr/>
            </w:pPr>
            <w:r>
              <w:rPr/>
              <w:t>Mitigation</w:t>
            </w:r>
          </w:p>
        </w:tc>
      </w:tr>
      <w:tr>
        <w:trPr/>
        <w:tc>
          <w:tcPr>
            <w:tcW w:w="4840" w:type="dxa"/>
            <w:tcBorders/>
            <w:vAlign w:val="center"/>
          </w:tcPr>
          <w:p>
            <w:pPr>
              <w:pStyle w:val="TableContents"/>
              <w:bidi w:val="0"/>
              <w:spacing w:before="0" w:after="283"/>
              <w:jc w:val="left"/>
              <w:rPr/>
            </w:pPr>
            <w:r>
              <w:rPr/>
              <w:t>No formal support agreement exists yet with a development partner</w:t>
            </w:r>
          </w:p>
        </w:tc>
        <w:tc>
          <w:tcPr>
            <w:tcW w:w="6499" w:type="dxa"/>
            <w:tcBorders/>
            <w:vAlign w:val="center"/>
          </w:tcPr>
          <w:p>
            <w:pPr>
              <w:pStyle w:val="TableContents"/>
              <w:bidi w:val="0"/>
              <w:spacing w:before="0" w:after="283"/>
              <w:jc w:val="left"/>
              <w:rPr/>
            </w:pPr>
            <w:r>
              <w:rPr/>
              <w:t>Formalize Section 4's SLA targets in a contract once a team is engaged, rather than relying on informal best-effort support indefinitely</w:t>
            </w:r>
          </w:p>
        </w:tc>
      </w:tr>
      <w:tr>
        <w:trPr/>
        <w:tc>
          <w:tcPr>
            <w:tcW w:w="4840" w:type="dxa"/>
            <w:tcBorders/>
            <w:vAlign w:val="center"/>
          </w:tcPr>
          <w:p>
            <w:pPr>
              <w:pStyle w:val="TableContents"/>
              <w:bidi w:val="0"/>
              <w:spacing w:before="0" w:after="283"/>
              <w:jc w:val="left"/>
              <w:rPr/>
            </w:pPr>
            <w:r>
              <w:rPr/>
              <w:t>Maintenance requests quietly expand into unapproved new scope</w:t>
            </w:r>
          </w:p>
        </w:tc>
        <w:tc>
          <w:tcPr>
            <w:tcW w:w="6499" w:type="dxa"/>
            <w:tcBorders/>
            <w:vAlign w:val="center"/>
          </w:tcPr>
          <w:p>
            <w:pPr>
              <w:pStyle w:val="TableContents"/>
              <w:bidi w:val="0"/>
              <w:spacing w:before="0" w:after="283"/>
              <w:jc w:val="left"/>
              <w:rPr/>
            </w:pPr>
            <w:r>
              <w:rPr/>
              <w:t>Section 2's explicit boundary and Section 8's triage step</w:t>
            </w:r>
          </w:p>
        </w:tc>
      </w:tr>
      <w:tr>
        <w:trPr/>
        <w:tc>
          <w:tcPr>
            <w:tcW w:w="4840" w:type="dxa"/>
            <w:tcBorders/>
            <w:vAlign w:val="center"/>
          </w:tcPr>
          <w:p>
            <w:pPr>
              <w:pStyle w:val="TableContents"/>
              <w:bidi w:val="0"/>
              <w:spacing w:before="0" w:after="283"/>
              <w:jc w:val="left"/>
              <w:rPr/>
            </w:pPr>
            <w:r>
              <w:rPr/>
              <w:t>Documentation drifts out of date as the system changes</w:t>
            </w:r>
          </w:p>
        </w:tc>
        <w:tc>
          <w:tcPr>
            <w:tcW w:w="6499" w:type="dxa"/>
            <w:tcBorders/>
            <w:vAlign w:val="center"/>
          </w:tcPr>
          <w:p>
            <w:pPr>
              <w:pStyle w:val="TableContents"/>
              <w:bidi w:val="0"/>
              <w:spacing w:before="0" w:after="283"/>
              <w:jc w:val="left"/>
              <w:rPr/>
            </w:pPr>
            <w:r>
              <w:rPr/>
              <w:t>Section 10's explicit ownership and triggers for updating each document</w:t>
            </w:r>
          </w:p>
        </w:tc>
      </w:tr>
      <w:tr>
        <w:trPr/>
        <w:tc>
          <w:tcPr>
            <w:tcW w:w="4840" w:type="dxa"/>
            <w:tcBorders/>
            <w:vAlign w:val="center"/>
          </w:tcPr>
          <w:p>
            <w:pPr>
              <w:pStyle w:val="TableContents"/>
              <w:bidi w:val="0"/>
              <w:spacing w:before="0" w:after="283"/>
              <w:jc w:val="left"/>
              <w:rPr/>
            </w:pPr>
            <w:r>
              <w:rPr/>
              <w:t>Security patching is deprioritized in favor of visible feature work</w:t>
            </w:r>
          </w:p>
        </w:tc>
        <w:tc>
          <w:tcPr>
            <w:tcW w:w="6499" w:type="dxa"/>
            <w:tcBorders/>
            <w:vAlign w:val="center"/>
          </w:tcPr>
          <w:p>
            <w:pPr>
              <w:pStyle w:val="TableContents"/>
              <w:bidi w:val="0"/>
              <w:spacing w:before="0" w:after="283"/>
              <w:jc w:val="left"/>
              <w:rPr/>
            </w:pPr>
            <w:r>
              <w:rPr/>
              <w:t>Section 7's monthly minimum cadence, independent of feature release scheduling</w:t>
            </w:r>
          </w:p>
        </w:tc>
      </w:tr>
      <w:tr>
        <w:trPr/>
        <w:tc>
          <w:tcPr>
            <w:tcW w:w="4840" w:type="dxa"/>
            <w:tcBorders/>
            <w:vAlign w:val="center"/>
          </w:tcPr>
          <w:p>
            <w:pPr>
              <w:pStyle w:val="TableContents"/>
              <w:bidi w:val="0"/>
              <w:spacing w:before="0" w:after="283"/>
              <w:jc w:val="left"/>
              <w:rPr/>
            </w:pPr>
            <w:r>
              <w:rPr/>
              <w:t>Hypercare (Section 5) is skipped for later rollout stages once the novelty of go-live has worn off</w:t>
            </w:r>
          </w:p>
        </w:tc>
        <w:tc>
          <w:tcPr>
            <w:tcW w:w="6499" w:type="dxa"/>
            <w:tcBorders/>
            <w:vAlign w:val="center"/>
          </w:tcPr>
          <w:p>
            <w:pPr>
              <w:pStyle w:val="TableContents"/>
              <w:bidi w:val="0"/>
              <w:spacing w:before="0" w:after="283"/>
              <w:jc w:val="left"/>
              <w:rPr/>
            </w:pPr>
            <w:r>
              <w:rPr/>
              <w:t>Explicitly tied to every stage of 11_Deployment Plan's rollout, not only the first</w:t>
            </w:r>
          </w:p>
        </w:tc>
      </w:tr>
    </w:tbl>
    <w:p>
      <w:pPr>
        <w:pStyle w:val="Heading2"/>
        <w:bidi w:val="0"/>
        <w:jc w:val="left"/>
        <w:rPr/>
      </w:pPr>
      <w:r>
        <w:rPr/>
        <w:t>13. Approval</w:t>
      </w:r>
    </w:p>
    <w:p>
      <w:pPr>
        <w:pStyle w:val="BodyText"/>
        <w:bidi w:val="0"/>
        <w:jc w:val="left"/>
        <w:rPr/>
      </w:pPr>
      <w:r>
        <w:rPr/>
        <w:t>Submitted for Board approval as the Phase 1 post-launch support baseline, completing the Group's required project documentation sequence.</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Prepared by — Signature &amp; Date</w:t>
      </w:r>
    </w:p>
    <w:p>
      <w:pPr>
        <w:pStyle w:val="BodyText"/>
        <w:bidi w:val="0"/>
        <w:spacing w:before="150" w:after="283"/>
        <w:ind w:hanging="0" w:left="0" w:right="0"/>
        <w:jc w:val="left"/>
        <w:rPr>
          <w:b/>
        </w:rPr>
      </w:pPr>
      <w:r>
        <w:rPr>
          <w:b/>
        </w:rPr>
        <w:t>Okurut Mathias</w:t>
      </w:r>
    </w:p>
    <w:p>
      <w:pPr>
        <w:pStyle w:val="BodyText"/>
        <w:bidi w:val="0"/>
        <w:spacing w:before="600" w:after="283"/>
        <w:ind w:hanging="0" w:left="0" w:right="0"/>
        <w:jc w:val="left"/>
        <w:rPr>
          <w:sz w:val="21"/>
          <w:bdr w:val="single" w:sz="2" w:space="3" w:color="333333"/>
        </w:rPr>
      </w:pPr>
      <w:r>
        <w:rPr>
          <w:sz w:val="21"/>
          <w:bdr w:val="single" w:sz="2" w:space="3" w:color="333333"/>
        </w:rPr>
        <w:t>Managing Director — Reviewed/Approved by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Multi Holdings Limited Software Development Procedures and Implementation Blueprint (Phase 21 Maintenance; Section 25, item 17 — the final required document); 10_Test Plan (Section 9 severity scale); 11_Deployment Plan (Section 8 staged rollout); 15_Administrator Manual (Sections 4–7, 10 — runbooks and routines referenced here); 01_Project Proposal (Section 9.1 maintenance cost category); 03_Feasibility Study (Section 7 data protection). </w:t>
      </w:r>
    </w:p>
    <w:p>
      <w:pPr>
        <w:pStyle w:val="Heading1"/>
      </w:pPr>
      <w:r>
        <w:t>Implementation Status Update (18 August 2026)</w:t>
      </w:r>
    </w:p>
    <w:p>
      <w:r>
        <w:t>This plan is for post-launch support of a live production system; nothing here applies yet, since Phase 1 has not gone live, let alone completed, and no support agreement, SLA or hypercare period is in effect.</w:t>
      </w:r>
    </w:p>
    <w:p>
      <w:r>
        <w:t>Forward-looking note for Section 10 (Documentation Maintenance): this status update, added across the document set on 18 August 2026, is itself the first concrete instance of the documentation-currency discipline Section 10 calls for — recording what changed and why, rather than letting the documents silently drift from what was actually built. Code lives in mbms/, alongside this documentation set (docx/) and the Administrator/Customer mockups (screenshots/). See mbms/README.md for exact run instructions and seeded demo credentials.</w:t>
      </w:r>
    </w:p>
    <w:p>
      <w:pPr>
        <w:pStyle w:val="Heading1"/>
      </w:pPr>
      <w:r>
        <w:t>Implementation Status Update 2 (18 August 2026)</w:t>
      </w:r>
    </w:p>
    <w:p>
      <w:r>
        <w:t>Still entirely inapplicable — Phase 1 has not gone live. Noted for whenever this plan does become active: Section 10's documentation-currency discipline is being followed incrementally as each slice of new functionality lands (this is the second dated status addendum across the same document set, not a one-time note).</w:t>
      </w:r>
    </w:p>
    <w:p>
      <w:r>
        <w:t>See mbms/README.md for exact run instructions and seeded demo credentials.</w:t>
      </w:r>
    </w:p>
    <w:p>
      <w:pPr>
        <w:pStyle w:val="Heading1"/>
      </w:pPr>
      <w:r>
        <w:t>Implementation Status Update 3 (18 August 2026)</w:t>
      </w:r>
    </w:p>
    <w:p>
      <w:r>
        <w:t>Still entirely inapplicable — Phase 1 has not gone live. This is the third consecutive dated status addendum across the document set, continuing the documentation-currency discipline Section 10 calls for as each increment of new functionality lands, rather than batching updates until go-live.</w:t>
      </w:r>
    </w:p>
    <w:p>
      <w:r>
        <w:t>See mbms/README.md for exact run instructions and seeded demo credentials.</w:t>
      </w:r>
    </w:p>
    <w:p>
      <w:pPr>
        <w:pStyle w:val="Heading1"/>
      </w:pPr>
      <w:r>
        <w:t>Implementation Status Update 4 (18 August 2026)</w:t>
      </w:r>
    </w:p>
    <w:p>
      <w:r>
        <w:t>Still entirely inapplicable — Phase 1 has not gone live. This is the fourth consecutive dated status addendum, continuing Section 10's documentation-currency discipline as each increment lands. See mbms/README.md for exact run instructions and seeded demo credentials.</w:t>
      </w:r>
    </w:p>
    <w:p>
      <w:pPr>
        <w:pStyle w:val="Heading1"/>
      </w:pPr>
      <w:r>
        <w:t>Implementation Status Update 5 (18 August 2026)</w:t>
      </w:r>
    </w:p>
    <w:p>
      <w:r>
        <w:t>Still entirely inapplicable — Phase 1 has not gone live. This is the fifth consecutive dated status addendum, and the one that closes out the module-by-module documentation-currency exercise Section 10 calls for: every Phase 1 module named across this document set now has a corresponding status entry somewhere in this five-update sequence. See mbms/README.md for exact run instructions and seeded demo credentials.</w:t>
      </w:r>
    </w:p>
    <w:p>
      <w:pPr>
        <w:pStyle w:val="Heading1"/>
      </w:pPr>
      <w:r>
        <w:t>Implementation Status Update 6 (18 August 2026)</w:t>
      </w:r>
    </w:p>
    <w:p>
      <w:r>
        <w:t>Still entirely inapplicable — Phase 1 has not gone live. This update is a correction to already-built code rather than a new module, which is itself a small data point for whatever maintenance/regression-testing cadence this plan eventually specifies: even a module documented as "implemented" across five prior status updates without objection had two requirement sub-clauses quietly unmet until directly re-checked against the source requirement text. See mbms/README.md, "Sprint 1 verification pass", for the full detail and verification method.</w:t>
      </w:r>
    </w:p>
    <w:p>
      <w:pPr>
        <w:pStyle w:val="Heading1"/>
      </w:pPr>
      <w:r>
        <w:t>Implementation Status Update 7 (18 August 2026)</w:t>
      </w:r>
    </w:p>
    <w:p>
      <w:r>
        <w:t>Still entirely inapplicable — Phase 1 has not gone live. The demo-reachability gap found this update (correct code, no way to actually exercise it) is worth carrying forward as a category into whatever regression-testing checklist this plan eventually specifies: check not just that a permission exists and is enforced correctly, but that at least one real account in the environment actually holds it. See mbms/README.md, "Sprint 2 verification pass", for the full detail and verification method.</w:t>
      </w:r>
    </w:p>
    <w:p>
      <w:pPr>
        <w:pStyle w:val="Heading1"/>
      </w:pPr>
      <w:r>
        <w:t>Implementation Status Update 8 (18 August 2026)</w:t>
      </w:r>
    </w:p>
    <w:p>
      <w:r>
        <w:t>Still entirely inapplicable — Phase 1 has not gone live. The UI-completeness gap found this update (API correct, form incomplete) is worth carrying forward alongside the demo-reachability category from the previous update into whatever regression-testing checklist this plan eventually specifies. See mbms/README.md, "Sprint 3 verification pass", for the full detail and verification method.</w:t>
      </w:r>
    </w:p>
    <w:p>
      <w:pPr>
        <w:pStyle w:val="Heading1"/>
      </w:pPr>
      <w:r>
        <w:t>Implementation Status Update 9 (18 August 2026)</w:t>
      </w:r>
    </w:p>
    <w:p>
      <w:r>
        <w:t>Still entirely inapplicable — Phase 1 has not gone live. The audit-completeness gap found this update (one mutating endpoint silently not producing an audit entry) is worth carrying forward as a third category, alongside demo-reachability and UI-completeness, into whatever regression-testing checklist this plan eventually specifies. See mbms/README.md, "Sprint 4 verification pass", for the full detail and verification method.</w:t>
      </w:r>
    </w:p>
    <w:p>
      <w:pPr>
        <w:pStyle w:val="Heading1"/>
      </w:pPr>
      <w:r>
        <w:t>Implementation Status Update 10 (18 August 2026)</w:t>
      </w:r>
    </w:p>
    <w:p>
      <w:r>
        <w:t>Still entirely inapplicable — Phase 1 has not gone live. See mbms/README.md, "Sprint 5 verification pass", for the full detail and verification method.</w:t>
      </w:r>
    </w:p>
    <w:p>
      <w:pPr>
        <w:pStyle w:val="Heading1"/>
      </w:pPr>
      <w:r>
        <w:t>Implementation Status Update 11 (18 August 2026)</w:t>
      </w:r>
    </w:p>
    <w:p>
      <w:r>
        <w:t>Still entirely inapplicable — Phase 1 has not gone live. 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 See mbms/README.md, "Sprint 6 verification pass", for the full detail and verification method.</w:t>
      </w:r>
    </w:p>
    <w:p>
      <w:pPr>
        <w:pStyle w:val="Heading1"/>
      </w:pPr>
      <w:r>
        <w:t>Implementation Status Update 12 (18 August 2026)</w:t>
      </w:r>
    </w:p>
    <w:p>
      <w:r>
        <w:t>Still entirely inapplicable — Phase 1 has not gone live. 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 See mbms/README.md, "Sprint 7: security testing pass", for the full detail and verification method.</w:t>
      </w:r>
    </w:p>
    <w:p>
      <w:pPr>
        <w:pStyle w:val="Heading1"/>
      </w:pPr>
      <w:r>
        <w:t>Implementation Status Update 13 (18 August 2026)</w:t>
      </w:r>
    </w:p>
    <w:p>
      <w:r>
        <w:t>Still entirely inapplicable — Phase 1 has not gone live. This update's critical finding is a strong argument for including the exact regression test that found it (out-of-scope filter[companyId] attempts against every scoped list endpoint) in whatever ongoing regression suite this plan eventually specifies for production. 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 See mbms/README.md, "Sprint 8: performance, Alpha and UAT pass", for the full detail and verification method.</w:t>
      </w:r>
    </w:p>
    <w:p>
      <w:pPr>
        <w:pStyle w:val="Heading1"/>
      </w:pPr>
      <w:r>
        <w:t>Implementation Status Update 14 (18 August 2026)</w:t>
      </w:r>
    </w:p>
    <w:p>
      <w:r>
        <w:t>Scope note: Expense Management (Phase 2) was added this sprint — one more module for this plan's maintenance scope, not a Phase 1 correction.</w:t>
      </w:r>
    </w:p>
    <w:p>
      <w:r>
        <w:t>No maintenance-process change: the new expenses table and Expense Service follow the same migration (Prisma), backup (whole-database) and monitoring gaps already documented for every other Phase 1 module in this plan — nothing about this module needs a different maintenance approach than what this plan already describes for the rest of the monolith.</w:t>
      </w:r>
    </w:p>
    <w:p>
      <w:r>
        <w:t>See mbms/README.md, “Sprint 9”, for the full detail and verification method.</w:t>
      </w:r>
    </w:p>
    <w:p>
      <w:pPr>
        <w:pStyle w:val="Heading1"/>
      </w:pPr>
      <w:r>
        <w:t>Implementation Status Update 15 (18 August 2026)</w:t>
      </w:r>
    </w:p>
    <w:p>
      <w:r>
        <w:t>Scope note: Full Accounting (Sprint 10) deepened an existing module — one more migration, no new maintenance concern.</w:t>
      </w:r>
    </w:p>
    <w:p>
      <w:r>
        <w:t>No maintenance-process change: recurring_journal_entries/recurring_journal_entry_items follow the same migration, backup and monitoring approach already documented for every other table in this plan. One environmental note worth recording: this sprint's local dev database was reset (docker compose down -v, then migrate deploy + seed) to clear stray journal entries an earlier sprint's interactive verification had left behind, which were colliding with this sprint's own seeded entry numbers. That's a local-dev-only concern — this plan's actual backup/restore process (whatever the engaged team eventually defines) was never exercised or informed by it.</w:t>
      </w:r>
    </w:p>
    <w:p>
      <w:r>
        <w:t>See mbms/README.md, “Sprint 10”, for the full detail and verification method.</w:t>
      </w:r>
    </w:p>
    <w:p>
      <w:pPr>
        <w:pStyle w:val="Heading1"/>
      </w:pPr>
      <w:r>
        <w:t>Implementation Status Update 16 (18 August 2026)</w:t>
      </w:r>
    </w:p>
    <w:p>
      <w:r>
        <w:t>Scope note: Asset Management (Sprint 11) added — one more migration, no new maintenance-process concern.</w:t>
      </w:r>
    </w:p>
    <w:p>
      <w:r>
        <w:t>No maintenance-process change: assets and asset_maintenance_records follow the same migration/backup/monitoring approach already documented for every other table in this plan.</w:t>
      </w:r>
    </w:p>
    <w:p>
      <w:r>
        <w:t>See mbms/README.md, “Sprint 11”, for the full detail and verification method.</w:t>
      </w:r>
    </w:p>
    <w:p>
      <w:pPr>
        <w:pStyle w:val="Heading1"/>
      </w:pPr>
      <w:r>
        <w:t>Implementation Status Update 17 (18 August 2026)</w:t>
      </w:r>
    </w:p>
    <w:p>
      <w:r>
        <w:t>Scope note: Project Management (Sprint 12) added — one more migration, no new maintenance-process concern.</w:t>
      </w:r>
    </w:p>
    <w:p>
      <w:r>
        <w:t>No maintenance-process change, with one exception worth recording: project_team_members is the first table in this schema that is genuinely hard-deleted (removeTeamMember() calls deleteMany()), not soft-deleted via a status field — a backup/restore process should be aware that removed team assignments leave no row to restore, unlike every other entity in this system.</w:t>
      </w:r>
    </w:p>
    <w:p>
      <w:r>
        <w:t>See mbms/README.md, “Sprint 12”, for the full detail and verification method.</w:t>
      </w:r>
    </w:p>
    <w:p>
      <w:pPr>
        <w:pStyle w:val="Heading1"/>
      </w:pPr>
      <w:r>
        <w:t>Implementation Status Update 18 (18 August 2026)</w:t>
      </w:r>
    </w:p>
    <w:p>
      <w:r>
        <w:t>Scope note: Reports (Sprint 13) added — no new migration, no new maintenance-process concern.</w:t>
      </w:r>
    </w:p>
    <w:p>
      <w:r>
        <w:t>One dependency-management note worth recording: pdfkit was added to backend/package.json this sprint, the first new runtime dependency in this project's history — future dependency-update/security-audit passes now have one real package to track, not zero.</w:t>
      </w:r>
    </w:p>
    <w:p>
      <w:r>
        <w:t>See mbms/README.md, “Sprint 13”, for the full detail and verification method.</w:t>
      </w:r>
    </w:p>
    <w:p>
      <w:pPr>
        <w:pStyle w:val="Heading1"/>
      </w:pPr>
      <w:r>
        <w:t>Implementation Status Update 19 (18 August 2026)</w:t>
      </w:r>
    </w:p>
    <w:p>
      <w:r>
        <w:t>Scope note: Dashboard/Notifications/Audit Trail (Sprint 14) added — one more migration, no new maintenance-process concern.</w:t>
      </w:r>
    </w:p>
    <w:p>
      <w:r>
        <w:t>One operational note worth recording: the notification bell polls GET /notifications/unread-count every 20 seconds per active browser tab — a real, if small, steady request-rate floor per logged-in user this plan's earlier updates (which assumed request-driven, not polling, traffic) didn't account for. Worth revisiting if this proof-of-concept's request-volume assumptions are ever used to size real infrastructure.</w:t>
      </w:r>
    </w:p>
    <w:p>
      <w:r>
        <w:t>See mbms/README.md, “Sprint 14”, for the full detail and verification method.</w:t>
      </w:r>
    </w:p>
    <w:p>
      <w:pPr>
        <w:pStyle w:val="Heading1"/>
      </w:pPr>
      <w:r>
        <w:t>Implementation Status Update 20 (19 August 2026)</w:t>
      </w:r>
    </w:p>
    <w:p>
      <w:r>
        <w:t>Scope note: policies, inter-company transactions, cross-company asset transfer and consolidated comparison reporting added — one more migration, no new maintenance-process concern.</w:t>
      </w:r>
    </w:p>
    <w:p>
      <w:r>
        <w:t>One operational note worth recording: posting an inter-company transaction writes two full JournalEntry graphs inside a single Prisma database transaction, one per company — a heavier single write than any other action in this system performs atomically. Worth revisiting if this proof-of-concept's transaction-size assumptions are ever used to size real infrastructure, and a genuine blocker (not just a sizing concern) if this Organization Service is ever split into an independently-deployed microservice per the approved architecture, since that atomicity can no longer be assumed across two databases.</w:t>
      </w:r>
    </w:p>
    <w:p>
      <w:r>
        <w:t>See mbms/README.md, “Company and Holdings Management,” for the full detail and verification method.</w:t>
      </w:r>
    </w:p>
    <w:p>
      <w:pPr>
        <w:pStyle w:val="Heading1"/>
      </w:pPr>
      <w:r>
        <w:t>Implementation Status Update 21 (19 August 2026) — Dashboard Deepening</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Built: a deepened Holding Company Dashboard (group-wide financial position, four monthly charts, financial/operational alerts, employee statistics, company performance comparison, outstanding inter-company loans) and a deepened Subsidiary Dashboard (the same financial/chart blocks, scoped and permission-gated per company). Inventory value, sales performance and procurement performance are honestly reported as not available — no such module exists in this codebase.</w:t>
      </w:r>
    </w:p>
    <w:p>
      <w:r>
        <w:t>See mbms/README.md, "Dashboard Deepening — Holding Company &amp; Subsidiary KPI Set", for the full detail and verification method.</w:t>
      </w:r>
    </w:p>
    <w:p>
      <w:pPr>
        <w:pStyle w:val="Heading1"/>
      </w:pPr>
      <w:r>
        <w:t>Implementation Status Update 22 (19 August 2026) — RBAC Completion</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Built: all 23 catalogue roles are now permissioned (14 of them — Chief Financial Officer, Accountant, Operations Manager, Project Manager, Inventory Manager, Warehouse Manager, Legal Officer, Customer Service Officer, Employee, External Auditor, Board Member, Investor, Read-only User — existed as role rows since Sprint 1 but had never been given a single permission), plus a new self-service POST /identity/users/me/change-password endpoint (distinct from the existing admin-initiated reset and the unauthenticated forgot-password flow). No new permission or schema migration was needed for the role work; the new endpoint reuses the existing IsStrongPassword validator and audit pattern.</w:t>
      </w:r>
    </w:p>
    <w:p>
      <w:r>
        <w:t>See mbms/README.md, "RBAC Completion — Full Role Catalogue Permissioned, Self-Service Password Change Added", for the full detail and verification method.</w:t>
      </w:r>
    </w:p>
    <w:p>
      <w:pPr>
        <w:pStyle w:val="Heading1"/>
      </w:pPr>
      <w:r>
        <w:t>Implementation Status Update 23 (19 August 2026) — HR Module Deepening</w:t>
      </w:r>
    </w:p>
    <w:p>
      <w:r>
        <w:t>Scope note: this update was requested directly against a full HR feature list — Employee Management, Recruitment, Attendance, Leave Management and Performance Management — opening with "The HR module should manage employees across all companies," not a numbered sprint or either pass earlier the same day.</w:t>
      </w:r>
    </w:p>
    <w:p>
      <w:r>
        <w:t>Built: Employee Management was re-verified (one gap closed — a real employment-history table, plus a document-reference field). Four entirely new modules were built: Recruitment (vacancy approval workflow through application/interview/offer, ending in onboarding into a real employee record), Attendance (self-service clock-in/out against an assigned shift, or HR-recorded for employees without a login), Leave (five leave types, balance-checked approval), and Performance (review cycles, objectives/KPIs, self- and manager-assessment). Migration: hr_module_recruitment_attendance_leave_performance (eleven new tables, two new employees columns). Ten new permissions; no existing permission was changed.</w:t>
      </w:r>
    </w:p>
    <w:p>
      <w:r>
        <w:t>Two real gaps were found and fixed during this pass: a self-service scope-gating bug in Performance (an ordinary employee reading or submitting their own review could be incorrectly blocked, since the original code path required company-wide scope even for pure self-access), and a demo-reachability gap where the HR Manager persona's single-company scope meant no seeded user could reach three of the four new modules' management actions for one subsidiary at all.</w:t>
      </w:r>
    </w:p>
    <w:p>
      <w:r>
        <w:t>See mbms/README.md, "HR Module Deepening — Recruitment, Attendance, Leave, Performance", for the full detail and verification method.</w:t>
      </w:r>
    </w:p>
    <w:p>
      <w:pPr>
        <w:pStyle w:val="Heading1"/>
      </w:pPr>
      <w:r>
        <w:t>Implementation Status Update 24 (19 August 2026) — Customer Storefront, Responsiveness Pass and Landing Page</w:t>
      </w:r>
    </w:p>
    <w:p>
      <w:r>
        <w:t>Scope note: this entry bundles three related requests handled back-to-back in one continuous session, the same class of single-entry bundling this document set already uses when one pass covers several closely related asks — build the actual customer-facing storefront screenshots/Customer/'s ten mockups had always implied but never had running code behind (explicitly confirmed as new scope, not something already there to start); make that storefront responsive once it shipped without a mobile pass; and develop a public landing page with a first-visit disclaimer for a visitor who hasn't signed in yet.</w:t>
      </w:r>
    </w:p>
    <w:p>
      <w:r>
        <w:t>Built: a real Sales/Invoicing/Payments module (Order, OrderItem, Invoice, Payment, PaymentAllocation — an order posts a real balanced journal entry at creation and is rejected if it would exceed the customer's credit limit; cancellation reverses the entry rather than deleting anything) and a new Support Ticketing module (SupportTicket, TicketMessage), both behind a second, structurally separate authentication stack (a customer signs in with an account number or email, never a staff User record). A second web application, mbms/storefront/, implements all ten Customer mockup screens plus two with no source mockup (a Landing page and a first-visit disclaimer modal) against this real backend, not a mockup. Minimal staff-side screens (Orders fulfillment, Support Ticket reply) were added to the existing Admin app so a customer's order or ticket does not dead-end. The storefront was then made responsive (a fluid header/nav and scrollable tables with no fixed-width overflow from 320px to 1440px) and given the public landing page and disclaimer at "/", replacing the previous hard redirect-to-login for a signed-out visitor. Migration: sprint16_customer_storefront. Four new permissions (sales.order.manage/viewAll, support.ticket.manage/viewAll); no existing permission was changed. Two new components enter the maintenance surface: mbms/storefront/ (a second frontend app to keep dependency-current alongside mbms/frontend/) and the customer-jwt secret, which must be rotated independently of the staff JWT_ACCESS_SECRET if either is ever compromised.</w:t>
      </w:r>
    </w:p>
    <w:p>
      <w:r>
        <w:t>Three real defects were found and fixed across these passes, not before them: a seed-script idempotency bug that doubled a demo customer's outstanding balance on a second seed run (order/invoice numbers were derived from a live row count rather than a fixed literal, unlike every other seed in this project); a frontend permission-gate mismatch where the new Support Tickets admin screen's hasRole() check didn't include a role the backend had actually granted the permission to, hiding a working reply form; and a CSS specificity leak where a rule added to fix one header's responsive wrap silently reordered an unrelated header on the new Landing page, caught only by inspecting a screenshot, not by any automated check.</w:t>
      </w:r>
    </w:p>
    <w:p>
      <w:r>
        <w:t>See mbms/README.md, "Sprint 16: Customer Storefront", "Storefront responsiveness pass" and "Landing page and disclaimer added", for the full detail and verification method.</w:t>
      </w:r>
    </w:p>
    <w:p>
      <w:pPr>
        <w:pStyle w:val="Heading1"/>
      </w:pPr>
      <w:r>
        <w:t>Implementation Status Update 25 (19 August 2026) — Financial Module Deepening</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Built: closing entries (a real journal entry zeroing revenue/expense into Retained Earnings on period close), adjusting-entry tagging, account reconciliation, and budgets on the General Ledger side; a new Accounts Payable subledger (supplier invoices with a draft-approve-pay workflow, payments, credit notes, aging, statements); Accounts Receivable deepened with credit/debit notes and staff-facing aging/statements on top of the existing Order/Invoice/Payment system (see the correction note below); and four new report endpoints — Cash Flow Statement, Statement of Changes in Equity, Financial Ratios, Budget vs Actual, and a Management Accounts bundle.</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See mbms/README.md, "Financial Module Deepening", for the full detail and verification method.</w:t>
      </w:r>
    </w:p>
    <w:p>
      <w:pPr>
        <w:pStyle w:val="Heading1"/>
      </w:pPr>
      <w:r>
        <w:t>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The placeholder screens are added to the maintenance backlog as known planned work; until built they must keep rendering the shared ComingSoon component. Documentation maintenance: this document set and the root README carry the taxonomy.</w:t>
      </w:r>
    </w:p>
    <w:p>
      <w:pPr>
        <w:pStyle w:val="Heading1"/>
      </w:pPr>
      <w:r>
        <w:t>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Maintenance note: when a new permission code is introduced, set its `domain` correctly and, if a bounded grantor should be able to delegate it, confirm the domain is in that grantor's DELEGATION_RULES entry. Review DELEGATION_RULES whenever grantor roles or the domain list change.</w:t>
      </w:r>
    </w:p>
    <w:p>
      <w:pPr>
        <w:pStyle w:val="Heading1"/>
      </w:pPr>
      <w:r>
        <w:t>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Maintenance: keep ROUTE_CAPABILITIES in step with the screen inventory and with new permission codes — a screen missing from the map is shown to everyone; a code typo hides a screen from everyone. Review it alongside DELEGATION_RULES whenever permissions change.</w:t>
      </w:r>
    </w:p>
    <w:p>
      <w:pPr>
        <w:pStyle w:val="Heading1"/>
      </w:pPr>
      <w:r>
        <w:t>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Maintenance: keep the locale catalogue in step with the UI — a new visible string needs an English key or it cannot be translated; missing keys in other languages simply fall back. Track completion of the remaining Ugandan languages as a content backlog.</w:t>
      </w:r>
    </w:p>
    <w:p>
      <w:pPr>
        <w:pStyle w:val="Heading1"/>
      </w:pPr>
      <w:r>
        <w:t>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Maintenance: track completion of the untranslated languages as a content backlog; when adding a new UI string, add its English key so every language can fall back. Verify right-to-left layout whenever storefront CSS changes.</w:t>
      </w:r>
    </w:p>
    <w:p>
      <w:pPr>
        <w:pStyle w:val="Heading1"/>
      </w:pPr>
      <w:r>
        <w:t>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Maintenance: keep en.js in step with the UI (a new visible string without a key cannot be translated and will not fall back cleanly). Track completion of the partially / un-translated languages as a content backlog. Re-check right-to-left layout on any storefront CSS change.</w:t>
      </w:r>
    </w:p>
    <w:p>
      <w:pPr>
        <w:pStyle w:val="Heading1"/>
      </w:pPr>
      <w:r>
        <w:t>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Maintenance: keep the content glossary in step with the catalogue vocabulary (new category names, units, product-name tokens). If a real translation provider is adopted, monitor its latency and cost on the customer-portal read/write paths. The *_original columns are the source of truth for what the customer actually typed.</w:t>
      </w:r>
    </w:p>
    <w:p>
      <w:pPr>
        <w:pStyle w:val="Heading1"/>
      </w:pPr>
      <w:r>
        <w:t>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Maintenance: keep the fixed FX constants and the currency-per-language map current, or replace them with a rate feed. Re-check number and currency formatting when adding a language or changing storefront number rendering.</w:t>
      </w:r>
    </w:p>
    <w:p>
      <w:pPr>
        <w:pStyle w:val="Heading1"/>
      </w:pPr>
      <w:r>
        <w:t>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Maintenance: the delete guards enumerate the child entities that block company/branch/department removal — extend that list whenever a new table takes a company_id. Keep doc 19's phased backlog current as the Clearing &amp; Forwarding system is built.</w:t>
      </w:r>
    </w:p>
    <w:p>
      <w:pPr>
        <w:pStyle w:val="Heading1"/>
      </w:pPr>
      <w:r>
        <w:t>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Maintenance: as with the Clearing &amp; Forwarding subsidiary, keep doc 20's phased backlog current as the Warehouse Management System is built, and keep the subsidiary's branch / department / policy list in step with real operations.</w:t>
      </w:r>
    </w:p>
    <w:p>
      <w:pPr>
        <w:pStyle w:val="Heading1"/>
      </w:pPr>
      <w:r>
        <w:t>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Maintenance: keep the movement ledger append-only — corrections are made with a further adjustment, never by editing history. When the WMS per-branch stock model (doc 20) is built, this company-level figure becomes the sum across branches; plan that migration rather than running the two in parallel.</w:t>
      </w:r>
    </w:p>
    <w:p>
      <w:pPr>
        <w:pStyle w:val="Heading1"/>
      </w:pPr>
      <w:r>
        <w:t>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Maintenance: keep expired discount codes rather than deleting them (redeemed orders reference the code text); retire a promotion by deactivating it. Treat content_blocks.body as the editable copy and publishedBody as the release — always via Publish, never by editing the database.</w:t>
      </w:r>
    </w:p>
    <w:p>
      <w:pPr>
        <w:pStyle w:val="Heading1"/>
      </w:pPr>
      <w:r>
        <w:t>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Maintenance: deactivating a discount code remains the preferred way to retire it (it keeps the redemption history visible); deleting it is available when a code should be removed entirely, and is safe for past orders.</w:t>
      </w:r>
    </w:p>
    <w:p>
      <w:pPr>
        <w:pStyle w:val="Heading1"/>
      </w:pPr>
      <w:r>
        <w:t>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Maintenance: when a new promo banner or content page uses wording outside the curated glossary, either add the phrase to content-glossary.ts (and the eight locale files, for cart strings) or rely on the configured translation provider; keep English as the stored canonical value.</w:t>
      </w:r>
    </w:p>
    <w:p>
      <w:pPr>
        <w:pStyle w:val="Heading1"/>
      </w:pPr>
      <w:r>
        <w:t>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Maintenance: keep the dashboard's rolling windows (30 days for attendance and for upcoming events) and the probation length (90 days) in step with HR policy; they are constants in hr-dashboard.service.ts. When a real payroll / shift module lands, extend the dashboard rather than adding a parallel one.</w:t>
      </w:r>
    </w:p>
    <w:p>
      <w:pPr>
        <w:pStyle w:val="Heading1"/>
      </w:pPr>
      <w:r>
        <w:t>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Maintenance: review the PAYE bands and NSSF rates in uganda-statutory.util.ts against URA / NSSF each year; keep salary advances rather than deleting them (paid runs reference the recovery). A cancelled roster or payroll run is the way to undo before payment; a paid run cannot be cancelled.</w:t>
      </w:r>
    </w:p>
    <w:p>
      <w:pPr>
        <w:pStyle w:val="Heading1"/>
      </w:pPr>
      <w:r>
        <w:t>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Maintenance: the my-hr module is a read projection plus one create — keep it in step with the shape of the attendance, leave, performance and payroll resources it mirrors. Payslip PDF export and shift swap requests are the noted future additions.</w:t>
      </w:r>
    </w:p>
    <w:p>
      <w:pPr>
        <w:pStyle w:val="Heading1"/>
      </w:pPr>
      <w:r>
        <w:t>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Maintenance: when a new staff login is created, link it to an employee record if that person should have self-service; otherwise they will (correctly) see the “contact HR” notice.</w:t>
      </w:r>
    </w:p>
    <w:p>
      <w:pPr>
        <w:pStyle w:val="Heading1"/>
      </w:pPr>
      <w:r>
        <w:t>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Maintenance: the overview mirrors the shape of the finance sub-resources — when one of those changes, update the aggregation in finance.service.ts to match. The PAYE/NSSF-style statutory content does not apply here; this screen is presentation only.</w:t>
      </w:r>
    </w:p>
    <w:p>
      <w:pPr>
        <w:pStyle w:val="Heading1"/>
      </w:pPr>
      <w:r>
        <w:t>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Maintenance: keep the reset-token expiry (30 minutes) and the starter credit terms as named constants in customer-auth.service.ts. When a real Google client and e-mail / SMS provider are added, replace the trust-the-email and return-the-token seams; the endpoint contracts do not change.</w:t>
      </w:r>
    </w:p>
    <w:p>
      <w:pPr>
        <w:pStyle w:val="Heading1"/>
      </w:pPr>
      <w:r>
        <w:t>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Maintenance — keep resolveHoldingGroupCompanyIds correct as the company hierarchy changes; per-branch stock levels and distance ranking are tracked as deferred enhancements.</w:t>
      </w:r>
    </w:p>
    <w:p>
      <w:pPr>
        <w:pStyle w:val="Heading1"/>
      </w:pPr>
      <w:r>
        <w:t>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Maintenance — when a subsidiary is to start selling in the storefront, give it a receivable account, a revenue account and an open period (as done here for the two logistics-side companies); the catalogue engine needs nothing further.</w:t>
      </w:r>
    </w:p>
    <w:p>
      <w:pPr>
        <w:pStyle w:val="Heading1"/>
      </w:pPr>
      <w:r>
        <w:t>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Maintenance — when new customer-facing database vocabulary is added, extend content-glossary.ts (PHRASES and TOKENS) in the eight languages; wire a real machine-translation provider into the translation-provider seam to cover free-form text.</w:t>
      </w:r>
    </w:p>
    <w:p>
      <w:pPr>
        <w:pStyle w:val="Heading1"/>
      </w:pPr>
      <w:r>
        <w:t>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Maintenance — after any endpoint or DTO change, rebuild with npm run build and run npm run openapi:generate to refresh backend/openapi.json; keep @nestjs/swagger on the NestJS 10 line and @fastify/static on the Fastify 4 line.</w:t>
      </w:r>
    </w:p>
    <w:p>
      <w:pPr>
        <w:pStyle w:val="Heading1"/>
      </w:pPr>
      <w:r>
        <w:t>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Maintenance — when a subsidiary is added or renamed, add its sector label and blurb to SUBSIDIARY_META in storefront src/lib/corporate.js (a generic fallback covers an unmapped one); the corporate pages otherwise stay correct from the live endpoint. Keep the illustrative leadership / news lists in the same file current.</w:t>
      </w:r>
    </w:p>
    <w:p>
      <w:pPr>
        <w:pStyle w:val="Heading1"/>
      </w:pPr>
      <w:r>
        <w:t>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Maintenance — the corporate pages now inherit the storefront’s palette and type scale via corporate.css tokens that mirror storefront.css; keep the two token sets aligned when the storefront theme changes.</w:t>
      </w:r>
    </w:p>
    <w:p>
      <w:pPr>
        <w:pStyle w:val="Heading1"/>
      </w:pPr>
      <w:r>
        <w:t>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Maintenance — public content pages now inherit the corporate shell (CorporateLayout) and corporate.css; a change to that shell or those tokens also affects /page/:slug.</w:t>
      </w:r>
    </w:p>
    <w:p>
      <w:pPr>
        <w:pStyle w:val="Heading1"/>
      </w:pPr>
      <w:r>
        <w:t>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Maintenance — social channels are data, edited in CMS / Site Builder, not code. When adding a genuinely new platform, extend the SocialPlatform enum (migration) plus SOCIAL_PLATFORMS in the DTO and the admin panel, and the icon maps in storefront lib/corporate.js.</w:t>
      </w:r>
    </w:p>
    <w:p>
      <w:pPr>
        <w:pStyle w:val="Heading1"/>
      </w:pPr>
      <w:r>
        <w:t>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Maintenance — FAQ content is data, edited in CMS / Site Builder. Newsletter sign-ups accumulate in newsletter_subscribers; there is no email-sending integration yet — export or connect a provider when one is chosen. The newsletter POST relies on the global throttler configuration.</w:t>
      </w:r>
    </w:p>
    <w:p>
      <w:pPr>
        <w:pStyle w:val="Heading1"/>
      </w:pPr>
      <w:r>
        <w:t>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Maintenance — when a new customer-facing order/payment field is added, decide read (add to toOrderResource’s loc() list) and write (run through toEnglish, keep *_original + *_source_language) the same way; extend content-glossary.ts for any new fixed vocabulary.</w:t>
      </w:r>
    </w:p>
    <w:p>
      <w:pPr>
        <w:pStyle w:val="Heading1"/>
      </w:pPr>
      <w:r>
        <w:t>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Maintenance — when a new customer-facing label appears on the dashboard, the statement or a PDF, add its phrase to content-glossary.ts (eight languages); embedding a Unicode font in pdf.util.ts is the way to lift the non-Latin PDF limitation.</w:t>
      </w:r>
    </w:p>
    <w:p>
      <w:pPr>
        <w:pStyle w:val="Heading1"/>
      </w:pPr>
      <w:r>
        <w:t>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Maintenance — the subsidiary's org records live in seed.ts (company id …006). When any CMS module is built, follow doc 21's Section 10: reuse the platform's identity, scope, GL, audit, notification and localisation layers rather than a parallel stack.</w:t>
      </w:r>
    </w:p>
    <w:p>
      <w:pPr>
        <w:pStyle w:val="Heading1"/>
      </w:pPr>
      <w:r>
        <w:t>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Maintenance — disclaimer wording is data, edited in CMS / Site Builder. The 10-second hold is the constant DISCLAIMER_HOLD_SECONDS in disclaimer.service.ts (returned to the client, not stored); change it there if the hold period needs to move.</w:t>
      </w:r>
    </w:p>
    <w:p>
      <w:pPr>
        <w:pStyle w:val="Heading1"/>
      </w:pPr>
      <w:r>
        <w:t>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Maintenance — a new pre-login UI string needs its English key in locales/en.js and a translation in eu.js / regional.js for the eight full languages; a new seeded disclaimer statement needs a content-glossary.ts entry to translate on read.</w:t>
      </w:r>
    </w:p>
    <w:p>
      <w:pPr>
        <w:pStyle w:val="Heading1"/>
      </w:pPr>
      <w:r>
        <w:t>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Maintenance — the services are seeded in seed.ts (CMC-5001–CMC-5010, companyId …006). To add or reprice one, edit that block; to make its rows read in more languages, extend the category phrases / service-name tokens in content-glossary.ts.</w:t>
      </w:r>
    </w:p>
    <w:p>
      <w:pPr>
        <w:pStyle w:val="Heading1"/>
      </w:pPr>
      <w:r>
        <w:t>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Maintenance — the Managing Director role is seeded with the full catalogue; when a new permission code is added, add it to that role's list too (and to Super Administrator). New admin screens should gate in-page controls with hasPermission(code) — optionally OR a role list — never a role list alone, so delegated grants take effect.</w:t>
      </w:r>
    </w:p>
    <w:p>
      <w:pPr>
        <w:pStyle w:val="Heading1"/>
      </w:pPr>
      <w:r>
        <w:t>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Maintenance — the logo is code, not a binary: one SVG component per app plus four SVG files and a brand sheet under brand/. Change the mark in one place (Logo.jsx) and it updates everywhere; keep the two copies in sync.</w:t>
      </w:r>
    </w:p>
    <w:p>
      <w:pPr>
        <w:pStyle w:val="Heading1"/>
      </w:pPr>
      <w:r>
        <w:t>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Maintenance — banners are SVG, not binaries: edit the file in brand/banners/ and re-copy into the two public/ folders (or wire a build step). Keep the visual language aligned with brand/README.md and the logo.</w:t>
      </w:r>
    </w:p>
    <w:p>
      <w:pPr>
        <w:pStyle w:val="Heading1"/>
      </w:pPr>
      <w:r>
        <w:t>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Maintenance — to change what a subsidiary shows, edit its brand/banners/subsidiary-*.svg and re-copy into storefront/public/brand/banners/; the name→file mapping is SUBSIDIARY_BANNER in storefront/src/lib/corporate.js.</w:t>
      </w:r>
    </w:p>
    <w:p>
      <w:pPr>
        <w:pStyle w:val="Heading1"/>
      </w:pPr>
      <w:r>
        <w:t>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Maintenance — delivery code lives in mbms/backend/src/delivery/; the schema is in prisma/schema.prisma (models Delivery, DeliveryDriver, DeliveryEvent) with migration 20260831120000_delivery; the specification is docx/22 and the client source is docx/Delivery-Software-Feature-Specification.docx. To activate: add delivery.manage / delivery.viewAll to the seed permission catalogue, grant them, and regenerate openapi.json.</w:t>
      </w:r>
    </w:p>
    <w:p>
      <w:pPr>
        <w:pStyle w:val="Heading1"/>
      </w:pPr>
      <w:r>
        <w:t>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Maintenance — the stamp draws on the shared Morise brand mark in brand/ (keep in sync with the apps' Logo component); the invoice PDF builder is mbms/backend/src/common/reports/pdf.util.ts, today a plain table with a text footer and no logo. The concept is specified in doc 22's acknowledgement addendum.</w:t>
      </w:r>
    </w:p>
    <w:p>
      <w:pPr>
        <w:pStyle w:val="Heading1"/>
      </w:pPr>
      <w:r>
        <w:t>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Maintenance — assignment logic is in mbms/backend/src/delivery/delivery.service.ts (assignDriver, create, createDriver / updateDriver, eligibleOrders); the persona model is delivery_drivers (schema.prisma, migration 20260831120000_delivery). To activate: seed delivery.manage / delivery.viewAll and grant them, and add the Admin dispatch screen.</w:t>
      </w:r>
    </w:p>
    <w:p>
      <w:pPr>
        <w:pStyle w:val="Heading1"/>
      </w:pPr>
      <w:r>
        <w:t>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Maintenance — the grants live in prisma/seed.ts — delivery.manage / delivery.viewAll in the PERMISSIONS array, plus a grant block after ROLE_PERMISSIONS. Re-run the seed (ts-node prisma/seed.ts) to re-apply; it is idempotent. To add a holder ad hoc, grant the code through delegated administration.</w:t>
      </w:r>
    </w:p>
    <w:p>
      <w:pPr>
        <w:pStyle w:val="Heading1"/>
      </w:pPr>
      <w:r>
        <w:t>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Maintenance — the wording lives in mbms/storefront/src/locales/{en,eu,regional}.js (keys header.cart, common.addToCart, shop.heading, cart.*, productDetail.*, landing.feat.shop.title and three prose keys). To adjust further, edit those values; the keys and the /cart route are stable.</w:t>
      </w:r>
    </w:p>
    <w:p>
      <w:pPr>
        <w:pStyle w:val="Heading1"/>
      </w:pPr>
      <w:r>
        <w:t>Implementation Status Update 70 (1 September 2026) — Payroll Management — Feature Specification</w:t>
      </w:r>
    </w:p>
    <w:p>
      <w:pPr>
        <w:pStyle w:val="BodyText"/>
      </w:pPr>
      <w:r>
        <w:t>An administrator asked that a Payroll Management section be recorded: the payroll system should support employees across multiple subsidiaries, with salary structures (basic salary, allowances, overtime, bonuses, commissions), deductions (loans, advances, taxes, statutory deductions, pension contributions), payroll approval, payslip generation, bank payment schedules, payroll history, and payroll reports at department, company and consolidated group level.</w:t>
      </w:r>
    </w:p>
    <w:p>
      <w:pPr>
        <w:pStyle w:val="BodyText"/>
      </w:pPr>
      <w:r>
        <w:t>Much of the core is already built (Update 41, 28 August 2026). MBMS runs a monthly PayrollRun per subsidiary (draft → approved → paid), producing a Payslip per active employee that computes Uganda PAYE and the NSSF employee / employer contributions from Employee.grossSalary, less any salary-advance instalment and a manual other-deductions figure; paying a run posts a balanced journal entry to that company's ledger and notifies each employee whose login can see their payslip. Salary advances have their own request → approve / reject → recovering → recovered lifecycle and are recovered automatically by the next run. The module is multi-subsidiary: every run is company-scoped and payroll.viewAll gives group-wide visibility; My Payslips is the employee self-service view. Of the requested list, these are live: multi-subsidiary support, basic (gross) salary, advances, taxes (PAYE), statutory deductions (NSSF), pension via NSSF, payroll approval, payslip data generation and payroll history.</w:t>
      </w:r>
    </w:p>
    <w:p>
      <w:pPr>
        <w:pStyle w:val="BodyText"/>
      </w:pPr>
      <w:r>
        <w:t>The rest is recorded as the Payroll Management backlog on top of that core, and is not built: a salary-structure model with distinct components (basic, allowances, overtime, bonuses, commissions) rather than a single gross figure; typed deductions and a long-term loan facility (with an interest / repayment schedule) distinct from the short-term advance; a voluntary / occupational pension scheme beyond NSSF; a rendered PDF payslip; bank payment schedules / an EFT payment file; and the reporting suite — payroll reports, department payroll reports (there is no department dimension on the payslip today), company payroll reports and consolidated group payroll reports (no report endpoint exists). This update adds the specification only — no code, schema, endpoint or permission change; the built Payroll module is unchanged.</w:t>
      </w:r>
    </w:p>
    <w:p>
      <w:pPr>
        <w:pStyle w:val="Heading2"/>
      </w:pPr>
      <w:r>
        <w:t>Impact on this document</w:t>
      </w:r>
    </w:p>
    <w:p>
      <w:pPr>
        <w:pStyle w:val="BodyText"/>
      </w:pPr>
      <w:r>
        <w:t>Maintenance — payroll code: mbms/backend/src/payroll/ (payroll.service.ts, payroll.controller.ts, uganda-statutory.util.ts, dto/), the payroll_runs / payslips / salary_advances tables, the Payroll.jsx admin screen and the My Payslips self-service view. Statutory rates live in uganda-statutory.util.ts and should be confirmed against URA / NSSF on deployment.</w:t>
      </w:r>
    </w:p>
    <w:p>
      <w:pPr>
        <w:pStyle w:val="Heading1"/>
      </w:pPr>
      <w:r>
        <w:t>Implementation Status Update 71 (1 September 2026) — Payroll: Salary Structures, Allowances, Overtime &amp; Bonuses</w:t>
      </w:r>
    </w:p>
    <w:p>
      <w:pPr>
        <w:pStyle w:val="BodyText"/>
      </w:pPr>
      <w:r>
        <w:t>Implementing the first slice of the Payroll Management backlog recorded in Update 70: salary structures, allowances, overtime and bonuses are now built. An employee's monthly pay is built up from a salary structure of components — a basic salary, one or more allowances, and one-off overtime or bonus lines — instead of a single flat gross figure.</w:t>
      </w:r>
    </w:p>
    <w:p>
      <w:pPr>
        <w:pStyle w:val="BodyText"/>
      </w:pPr>
      <w:r>
        <w:t>What changed (mbms/backend/src/payroll/ + one migration + the Payroll admin screen): a new salary_components table (type basic / allowance / overtime / bonus, label, amount, a recurring flag, and periodYear / periodMonth for a one-off line) holds each employee's structure; a payslip_components child table records the earnings breakdown captured on every payslip. A payroll run now derives each employee's gross from the sum of their applicable components (all recurring components, plus one-off components tagged for that month), falling back to Employee.grossSalary when an employee has no structure — so existing data keeps working. PAYE and NSSF are still computed on the resulting gross by the same Uganda statutory util; the GL posting on pay is unchanged. New endpoints: GET / POST /api/v1/payroll/salary-components, PATCH / DELETE /api/v1/payroll/salary-components/:id, and GET /api/v1/payroll/salary-structure/:employeeId (the assembled structure for a month with a PAYE / NSSF / net preview) — all under the existing payroll.manage / payroll.viewAll permissions, no new code. The Admin Payroll screen gains a Salary structures tab; each payslip row in a run expands to its component breakdown; My Payslips carries the same breakdown.</w:t>
      </w:r>
    </w:p>
    <w:p>
      <w:pPr>
        <w:pStyle w:val="BodyText"/>
      </w:pPr>
      <w:r>
        <w:t>Verified end to end: two demo Morise Agro Ltd employees were given a structure (basic + housing + transport allowances, plus a one-off overtime line for Grace Auma and a one-off performance bonus for Peter Kintu); a September 2026 payroll run derived their gross from the components (Grace 1,600,000 → 1,780,000 with the overtime; Kintu 2,800,000 → 3,300,000 with the bonus) and each payslip carried the four-line breakdown, while structure-less employees fell back to their flat gross unchanged; component create / update / delete work and a role without payroll.manage is refused (403). Backend nest build and the admin vite build are clean. Migration 20260901120000_salary_structures applied. The remaining Payroll Management backlog — commissions, typed deductions, a loan facility, a voluntary pension, a payslip PDF, bank payment schedules and the reporting suite — is unchanged.</w:t>
      </w:r>
    </w:p>
    <w:p>
      <w:pPr>
        <w:pStyle w:val="Heading2"/>
      </w:pPr>
      <w:r>
        <w:t>Impact on this document</w:t>
      </w:r>
    </w:p>
    <w:p>
      <w:pPr>
        <w:pStyle w:val="BodyText"/>
      </w:pPr>
      <w:r>
        <w:t>Maintenance — code: src/payroll/payroll.service.ts (componentsForPeriod, createRun gross derivation, the salary-component CRUD + salaryStructure), payroll.controller.ts, dto/payroll.dto.ts; tables salary_components / payslip_components (migration 20260901120000_salary_structures); frontend src/pages/Payroll.jsx (StructuresPanel, AddComponentModal, RunModal breakdown) and src/my-hr/my-hr.service.ts. Statutory rates unchanged in uganda-statutory.util.ts.</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sz w:val="19"/>
      <w:szCs w:val="19"/>
      <w:shd w:fill="EFEFEF" w:val="clear"/>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0"/>
      <w:szCs w:val="20"/>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Maintenance Plan</dc:title>
</cp:coreProperties>
</file>

<file path=docProps/custom.xml><?xml version="1.0" encoding="utf-8"?>
<Properties xmlns="http://schemas.openxmlformats.org/officeDocument/2006/custom-properties" xmlns:vt="http://schemas.openxmlformats.org/officeDocument/2006/docPropsVTypes"/>
</file>