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Admin — this is the FINANCIAL &amp; ACCOUNTING category's Suppliers screen (supplier.manage / supplier.viewAll, supplier.view.sensitive for unmasked bank / tax). Contact, document, contract, suspension and evaluation panels would extend it.</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Admin — the FINANCIAL &amp; ACCOUNTING category's Suppliers screen now has a detail dialog (Contacts / Evaluations / Performance tabs, Suspend control). Permissions are unchanged: supplier.manage to edit, supplier.viewAll for group-wide visibility, supplier.view.sensitive for unmasked bank / tax. Suspend is blocked on a blacklisted supplier.</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Admin — this is the INVENTORY category’s Inventory screen, now with Warehouses and Reports tabs. Permissions are unchanged: product.manage to move stock or edit warehouses / levels, product.viewAll for group-wide visibility. The default warehouse cannot be deactivated.</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Admin — the INVENTORY category’s Inventory screen gains a Warehouse ops tab. Permissions unchanged: product.manage to run operations, product.viewAll for group-wide visibility. The Warehouse Manager role now holds product.manage. Login: w.opio@morise-holdings.com / the demo password.</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Admin — the FINANCIAL &amp; ACCOUNTING category's Assets screen gains a Categories manager and a per-asset detail dialog. Permissions unchanged: asset.manage to register / edit / inspect / insure, asset.approve.disposal for the disposal steps, asset.viewAll for group-wide visibility.</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Admin — a new Fleet screen under the ADMIN / BACKEND category (route /fleet), gated on the new fleet.manage (write) / fleet.viewAll (group-wide read). The grant map: operational leads get both; Branch Manager and Warehouse Manager get manage (own scope); the oversight roles get viewAll.</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Admin — a new Alerts screen sits under the ADMIN / BACKEND category (route /alerts), visible to any authenticated user and filtered to their scope — no new permission. Configuration &amp; Administration (section 45) is partially built (policies, roles, permissions, numbering, periods); a settings UI for currency / tax / email / SMS / workflow config is the gap.</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Admin — a new Executive Q&amp;A screen under the FINANCIAL &amp; ACCOUNTING category (route /executive), visible to any authenticated user and scoped to their companies — no new permission. It is the single place that expresses the Final System Objective.</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Administrator Manual — My HR → My Payslips gains a Status column (amber “Approved · awaiting payment” / green “Paid · date”) and a status line in the payslip dialog; approving a payroll run now notifies every run member who has a login. No new permission — My HR remains scoped to the signed-in user's Employee record.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Administrator Manual — document department routing: which function each alert category maps to, that the match is a case-insensitive substring against the company's department names, that an unmatched alert is company-wide, and that group-visibility users and users with no department (or no linked Employee) see every in-scope alert. No new permission.</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Administrator Manual — note that alert routing tries department-name keywords in priority order (most specific first) and that vehicle / stock / batch / inspection alerts fall back to a general operations or field department when no specific one exists.</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Administrator Manual — administrators now drive every social media channel from one shared record; the three one-click buttons and the “rebuild URLs from the handle” option are documented.</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Administrator Manual — administrators manage every social platform from the CMS roster (one row each); adding is filling in a URL and saving, removing is clearing it and saving.</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Administrator Manual - new section 'Staff identification cards': the automatic issue-on-registration and status-sync behaviour, the 'Generate missing cards' sweep, manual issue / reissue / revoke / restore, the employee.idcard.manage / employee.idcard.viewAll permissions and which roles hold them, and the verify-by-code check.</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Administrator Manual - the 'Staff identification cards' section covers the card back: which fields are derived (national id, emergency contact, issuer address) and which are set by hand (blood group, back note), via the Edit dialog or on issue.</w:t>
      </w:r>
    </w:p>
    <w:p>
      <w:pPr>
        <w:pStyle w:val="Heading1"/>
      </w:pPr>
      <w:r>
        <w:t>106.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Administrator Manual - the 'Staff identification cards' section drops the blood group; the only hand-set back field is the note.</w:t>
      </w:r>
    </w:p>
    <w:p>
      <w:pPr>
        <w:pStyle w:val="Heading1"/>
      </w:pPr>
      <w:r>
        <w:t>107.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Administrator Manual - Morise Milling Ltd added to the subsidiary list with its six mill sites, twelve departments and six starter policies; managed like any other subsidiary under the subsidiary-lifecycle capability.</w:t>
      </w:r>
    </w:p>
    <w:p>
      <w:pPr>
        <w:pStyle w:val="Heading1"/>
      </w:pPr>
      <w:r>
        <w:t>108.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Administrator Manual - the delivery exception raised by a non-good acknowledgement, the invoice.estamp.issued / delivery.exception_opened audit events and the staff notification; the e-Stamp is customer-triggered, not a staff action.</w:t>
      </w:r>
    </w:p>
    <w:p>
      <w:pPr>
        <w:pStyle w:val="Heading1"/>
      </w:pPr>
      <w:r>
        <w:t>109.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Administrator Manual - the customer-facing confirmation surfaces (Home prompt, order-row link, /orders/:id/confirm) and the awaiting-confirmation read; the e-Stamp behaviour is unchanged from Update 94.</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