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Maintenance - the card front and back share one fixed size (CARD_W x CARD_H in IdCard.jsx); the blood group is no longer stored.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Maintenance - keep the seeded ids documented (company a1...007; branches b1...0040-0045; departments d1...0060-0071; policies p1...0040-0045) and doc 23 in step as the milling ERP is scoped and phased.</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Maintenance - keep the stamp-number format (MOR-ESTAMP-YYYY-NNNNNN) and the seal drawing (the standard 'M' geometry) documented; the acknowledgement is one-shot per delivery; the PDF seal is vector, no font dependency.</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Maintenance - the awaiting-confirmation read is derived from deliveries.status + customer_ack_at; keep the /orders/:id/confirm route documented alongside the acknowledge endpoint.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