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Test Plan</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11339" w:type="dxa"/>
        <w:jc w:val="left"/>
        <w:tblInd w:w="28" w:type="dxa"/>
        <w:tblLayout w:type="fixed"/>
        <w:tblCellMar>
          <w:top w:w="28" w:type="dxa"/>
          <w:left w:w="28" w:type="dxa"/>
          <w:bottom w:w="28" w:type="dxa"/>
          <w:right w:w="28" w:type="dxa"/>
        </w:tblCellMar>
      </w:tblPr>
      <w:tblGrid>
        <w:gridCol w:w="1799"/>
        <w:gridCol w:w="9540"/>
      </w:tblGrid>
      <w:tr>
        <w:trPr/>
        <w:tc>
          <w:tcPr>
            <w:tcW w:w="1799" w:type="dxa"/>
            <w:tcBorders/>
            <w:vAlign w:val="center"/>
          </w:tcPr>
          <w:p>
            <w:pPr>
              <w:pStyle w:val="TableContents"/>
              <w:bidi w:val="0"/>
              <w:spacing w:before="0" w:after="283"/>
              <w:jc w:val="left"/>
              <w:rPr>
                <w:b/>
              </w:rPr>
            </w:pPr>
            <w:r>
              <w:rPr>
                <w:b/>
              </w:rPr>
              <w:t>Document Type:</w:t>
            </w:r>
          </w:p>
        </w:tc>
        <w:tc>
          <w:tcPr>
            <w:tcW w:w="9540" w:type="dxa"/>
            <w:tcBorders/>
            <w:vAlign w:val="center"/>
          </w:tcPr>
          <w:p>
            <w:pPr>
              <w:pStyle w:val="TableContents"/>
              <w:bidi w:val="0"/>
              <w:spacing w:before="0" w:after="283"/>
              <w:jc w:val="left"/>
              <w:rPr/>
            </w:pPr>
            <w:r>
              <w:rPr/>
              <w:t>Test Plan</w:t>
            </w:r>
          </w:p>
        </w:tc>
      </w:tr>
      <w:tr>
        <w:trPr/>
        <w:tc>
          <w:tcPr>
            <w:tcW w:w="1799" w:type="dxa"/>
            <w:tcBorders/>
            <w:vAlign w:val="center"/>
          </w:tcPr>
          <w:p>
            <w:pPr>
              <w:pStyle w:val="TableContents"/>
              <w:bidi w:val="0"/>
              <w:spacing w:before="0" w:after="283"/>
              <w:jc w:val="left"/>
              <w:rPr>
                <w:b/>
              </w:rPr>
            </w:pPr>
            <w:r>
              <w:rPr>
                <w:b/>
              </w:rPr>
              <w:t>Purpose:</w:t>
            </w:r>
          </w:p>
        </w:tc>
        <w:tc>
          <w:tcPr>
            <w:tcW w:w="9540" w:type="dxa"/>
            <w:tcBorders/>
            <w:vAlign w:val="center"/>
          </w:tcPr>
          <w:p>
            <w:pPr>
              <w:pStyle w:val="TableContents"/>
              <w:bidi w:val="0"/>
              <w:spacing w:before="0" w:after="283"/>
              <w:jc w:val="left"/>
              <w:rPr/>
            </w:pPr>
            <w:r>
              <w:rPr/>
              <w:t>Defines testing strategy — scope, strategy, schedule, resources, entry/exit criteria</w:t>
            </w:r>
          </w:p>
        </w:tc>
      </w:tr>
      <w:tr>
        <w:trPr/>
        <w:tc>
          <w:tcPr>
            <w:tcW w:w="1799" w:type="dxa"/>
            <w:tcBorders/>
            <w:vAlign w:val="center"/>
          </w:tcPr>
          <w:p>
            <w:pPr>
              <w:pStyle w:val="TableContents"/>
              <w:bidi w:val="0"/>
              <w:spacing w:before="0" w:after="283"/>
              <w:jc w:val="left"/>
              <w:rPr>
                <w:b/>
              </w:rPr>
            </w:pPr>
            <w:r>
              <w:rPr>
                <w:b/>
              </w:rPr>
              <w:t>Version:</w:t>
            </w:r>
          </w:p>
        </w:tc>
        <w:tc>
          <w:tcPr>
            <w:tcW w:w="9540" w:type="dxa"/>
            <w:tcBorders/>
            <w:vAlign w:val="center"/>
          </w:tcPr>
          <w:p>
            <w:pPr>
              <w:pStyle w:val="TableContents"/>
              <w:bidi w:val="0"/>
              <w:spacing w:before="0" w:after="283"/>
              <w:jc w:val="left"/>
              <w:rPr/>
            </w:pPr>
            <w:r>
              <w:rPr/>
              <w:t>1.0 (Draft)</w:t>
            </w:r>
          </w:p>
        </w:tc>
      </w:tr>
      <w:tr>
        <w:trPr/>
        <w:tc>
          <w:tcPr>
            <w:tcW w:w="1799" w:type="dxa"/>
            <w:tcBorders/>
            <w:vAlign w:val="center"/>
          </w:tcPr>
          <w:p>
            <w:pPr>
              <w:pStyle w:val="TableContents"/>
              <w:bidi w:val="0"/>
              <w:spacing w:before="0" w:after="283"/>
              <w:jc w:val="left"/>
              <w:rPr>
                <w:b/>
              </w:rPr>
            </w:pPr>
            <w:r>
              <w:rPr>
                <w:b/>
              </w:rPr>
              <w:t>Date:</w:t>
            </w:r>
          </w:p>
        </w:tc>
        <w:tc>
          <w:tcPr>
            <w:tcW w:w="9540" w:type="dxa"/>
            <w:tcBorders/>
            <w:vAlign w:val="center"/>
          </w:tcPr>
          <w:p>
            <w:pPr>
              <w:pStyle w:val="TableContents"/>
              <w:bidi w:val="0"/>
              <w:spacing w:before="0" w:after="283"/>
              <w:jc w:val="left"/>
              <w:rPr/>
            </w:pPr>
            <w:r>
              <w:rPr/>
              <w:t>18 August 2026</w:t>
            </w:r>
          </w:p>
        </w:tc>
      </w:tr>
      <w:tr>
        <w:trPr/>
        <w:tc>
          <w:tcPr>
            <w:tcW w:w="1799" w:type="dxa"/>
            <w:tcBorders/>
            <w:vAlign w:val="center"/>
          </w:tcPr>
          <w:p>
            <w:pPr>
              <w:pStyle w:val="TableContents"/>
              <w:bidi w:val="0"/>
              <w:spacing w:before="0" w:after="283"/>
              <w:jc w:val="left"/>
              <w:rPr>
                <w:b/>
              </w:rPr>
            </w:pPr>
            <w:r>
              <w:rPr>
                <w:b/>
              </w:rPr>
              <w:t>Prepared by:</w:t>
            </w:r>
          </w:p>
        </w:tc>
        <w:tc>
          <w:tcPr>
            <w:tcW w:w="9540" w:type="dxa"/>
            <w:tcBorders/>
            <w:vAlign w:val="center"/>
          </w:tcPr>
          <w:p>
            <w:pPr>
              <w:pStyle w:val="TableContents"/>
              <w:bidi w:val="0"/>
              <w:spacing w:before="0" w:after="283"/>
              <w:jc w:val="left"/>
              <w:rPr/>
            </w:pPr>
            <w:r>
              <w:rPr/>
              <w:t>Obeke Godfrey, Director</w:t>
            </w:r>
          </w:p>
        </w:tc>
      </w:tr>
      <w:tr>
        <w:trPr/>
        <w:tc>
          <w:tcPr>
            <w:tcW w:w="1799" w:type="dxa"/>
            <w:tcBorders/>
            <w:vAlign w:val="center"/>
          </w:tcPr>
          <w:p>
            <w:pPr>
              <w:pStyle w:val="TableContents"/>
              <w:bidi w:val="0"/>
              <w:spacing w:before="0" w:after="283"/>
              <w:jc w:val="left"/>
              <w:rPr>
                <w:b/>
              </w:rPr>
            </w:pPr>
            <w:r>
              <w:rPr>
                <w:b/>
              </w:rPr>
              <w:t>Prepared for:</w:t>
            </w:r>
          </w:p>
        </w:tc>
        <w:tc>
          <w:tcPr>
            <w:tcW w:w="9540" w:type="dxa"/>
            <w:tcBorders/>
            <w:vAlign w:val="center"/>
          </w:tcPr>
          <w:p>
            <w:pPr>
              <w:pStyle w:val="TableContents"/>
              <w:bidi w:val="0"/>
              <w:spacing w:before="0" w:after="283"/>
              <w:jc w:val="left"/>
              <w:rPr/>
            </w:pPr>
            <w:r>
              <w:rPr/>
              <w:t>Development Team / Technology Partner, Morise Holdings Limited</w:t>
            </w:r>
          </w:p>
        </w:tc>
      </w:tr>
      <w:tr>
        <w:trPr/>
        <w:tc>
          <w:tcPr>
            <w:tcW w:w="1799" w:type="dxa"/>
            <w:tcBorders/>
            <w:vAlign w:val="center"/>
          </w:tcPr>
          <w:p>
            <w:pPr>
              <w:pStyle w:val="TableContents"/>
              <w:bidi w:val="0"/>
              <w:spacing w:before="0" w:after="283"/>
              <w:jc w:val="left"/>
              <w:rPr>
                <w:b/>
              </w:rPr>
            </w:pPr>
            <w:r>
              <w:rPr>
                <w:b/>
              </w:rPr>
              <w:t>Related documents:</w:t>
            </w:r>
          </w:p>
        </w:tc>
        <w:tc>
          <w:tcPr>
            <w:tcW w:w="9540" w:type="dxa"/>
            <w:tcBorders/>
            <w:vAlign w:val="center"/>
          </w:tcPr>
          <w:p>
            <w:pPr>
              <w:pStyle w:val="TableContents"/>
              <w:bidi w:val="0"/>
              <w:spacing w:before="0" w:after="283"/>
              <w:jc w:val="left"/>
              <w:rPr/>
            </w:pPr>
            <w:r>
              <w:rPr/>
              <w:t>04_Software Requirements Specification; 06_User Stories, Epics and Product Backlog; 07_System Design Document (v2.0); 09_API Specification</w:t>
            </w:r>
          </w:p>
        </w:tc>
      </w:tr>
    </w:tbl>
    <w:p>
      <w:pPr>
        <w:pStyle w:val="Heading2"/>
        <w:bidi w:val="0"/>
        <w:jc w:val="left"/>
        <w:rPr/>
      </w:pPr>
      <w:r>
        <w:rPr/>
        <w:t>1. Purpose and Scope</w:t>
      </w:r>
    </w:p>
    <w:p>
      <w:pPr>
        <w:pStyle w:val="BodyText"/>
        <w:bidi w:val="0"/>
        <w:jc w:val="left"/>
        <w:rPr/>
      </w:pPr>
      <w:r>
        <w:rPr/>
        <w:t>This Test Plan defines how Phase 1 of MBMS will be verified before go-live: what gets tested, at what level, by whom, in what environment, and what must be true before testing is considered complete. It covers the eight microservices and API Gateway defined in 07_System Design Document (v2.0), against the 52 functional requirements, 14 non-functional requirements, 6 business rules and 7 security requirements in 04_Software Requirements Specification.</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Note on source material:</w:t>
      </w:r>
      <w:r>
        <w:rPr>
          <w:sz w:val="21"/>
          <w:bdr w:val="single" w:sz="24" w:space="9" w:color="D98C00"/>
          <w:shd w:fill="FFF4E5" w:val="clear"/>
        </w:rPr>
        <w:t xml:space="preserve"> the Group's software development procedures document includes a sample test-case table (TC001–TC010) that this plan draws on for format, but four of those samples (create/approve a purchase order, create an invoice, record a payment) test Purchase Order and Invoice functionality that belongs to Phase 2, not Phase 1 — those modules do not exist yet. Section 8 below replaces them with equivalent Phase 1-scoped cases (journal entries, trial balance, customer/supplier records) rather than testing features that have not been built.</w:t>
      </w:r>
    </w:p>
    <w:p>
      <w:pPr>
        <w:pStyle w:val="Heading2"/>
        <w:bidi w:val="0"/>
        <w:jc w:val="left"/>
        <w:rPr/>
      </w:pPr>
      <w:r>
        <w:rPr/>
        <w:t>2. Test Objectives</w:t>
      </w:r>
    </w:p>
    <w:p>
      <w:pPr>
        <w:pStyle w:val="BodyText"/>
        <w:numPr>
          <w:ilvl w:val="0"/>
          <w:numId w:val="1"/>
        </w:numPr>
        <w:tabs>
          <w:tab w:val="clear" w:pos="1134"/>
          <w:tab w:val="left" w:pos="709" w:leader="none"/>
        </w:tabs>
        <w:bidi w:val="0"/>
        <w:spacing w:before="0" w:after="0"/>
        <w:ind w:hanging="283" w:left="709"/>
        <w:jc w:val="left"/>
        <w:rPr/>
      </w:pPr>
      <w:r>
        <w:rPr/>
        <w:t xml:space="preserve">Verify every "Must" requirement in the SRS is implemented correctly before Phase 1 go-live (SRS Section 11, AC-01–AC-11). </w:t>
      </w:r>
    </w:p>
    <w:p>
      <w:pPr>
        <w:pStyle w:val="BodyText"/>
        <w:numPr>
          <w:ilvl w:val="0"/>
          <w:numId w:val="1"/>
        </w:numPr>
        <w:tabs>
          <w:tab w:val="clear" w:pos="1134"/>
          <w:tab w:val="left" w:pos="709" w:leader="none"/>
        </w:tabs>
        <w:bidi w:val="0"/>
        <w:spacing w:before="0" w:after="0"/>
        <w:ind w:hanging="283" w:left="709"/>
        <w:jc w:val="left"/>
        <w:rPr/>
      </w:pPr>
      <w:r>
        <w:rPr/>
        <w:t xml:space="preserve">Verify the multi-company data scoping design (BR-01, 07_System Design Document Section 6) cannot be bypassed. </w:t>
      </w:r>
    </w:p>
    <w:p>
      <w:pPr>
        <w:pStyle w:val="BodyText"/>
        <w:numPr>
          <w:ilvl w:val="0"/>
          <w:numId w:val="1"/>
        </w:numPr>
        <w:tabs>
          <w:tab w:val="clear" w:pos="1134"/>
          <w:tab w:val="left" w:pos="709" w:leader="none"/>
        </w:tabs>
        <w:bidi w:val="0"/>
        <w:spacing w:before="0" w:after="0"/>
        <w:ind w:hanging="283" w:left="709"/>
        <w:jc w:val="left"/>
        <w:rPr/>
      </w:pPr>
      <w:r>
        <w:rPr/>
        <w:t xml:space="preserve">Verify the accounting business rules (BR-03 balanced entries, BR-04 period closure) are enforced, since these protect financial data integrity. </w:t>
      </w:r>
    </w:p>
    <w:p>
      <w:pPr>
        <w:pStyle w:val="BodyText"/>
        <w:numPr>
          <w:ilvl w:val="0"/>
          <w:numId w:val="1"/>
        </w:numPr>
        <w:tabs>
          <w:tab w:val="clear" w:pos="1134"/>
          <w:tab w:val="left" w:pos="709" w:leader="none"/>
        </w:tabs>
        <w:bidi w:val="0"/>
        <w:spacing w:before="0" w:after="0"/>
        <w:ind w:hanging="283" w:left="709"/>
        <w:jc w:val="left"/>
        <w:rPr/>
      </w:pPr>
      <w:r>
        <w:rPr/>
        <w:t xml:space="preserve">Verify the audit trail (FR-AUDIT-01–03) captures every state-changing action across all eight services via Kafka, with no gaps. </w:t>
      </w:r>
    </w:p>
    <w:p>
      <w:pPr>
        <w:pStyle w:val="BodyText"/>
        <w:numPr>
          <w:ilvl w:val="0"/>
          <w:numId w:val="1"/>
        </w:numPr>
        <w:tabs>
          <w:tab w:val="clear" w:pos="1134"/>
          <w:tab w:val="left" w:pos="709" w:leader="none"/>
        </w:tabs>
        <w:bidi w:val="0"/>
        <w:spacing w:before="0" w:after="0"/>
        <w:ind w:hanging="283" w:left="709"/>
        <w:jc w:val="left"/>
        <w:rPr/>
      </w:pPr>
      <w:r>
        <w:rPr/>
        <w:t xml:space="preserve">Verify the security requirements (SEC-01–SEC-07) hold up against common attack patterns. </w:t>
      </w:r>
    </w:p>
    <w:p>
      <w:pPr>
        <w:pStyle w:val="BodyText"/>
        <w:numPr>
          <w:ilvl w:val="0"/>
          <w:numId w:val="1"/>
        </w:numPr>
        <w:tabs>
          <w:tab w:val="clear" w:pos="1134"/>
          <w:tab w:val="left" w:pos="709" w:leader="none"/>
        </w:tabs>
        <w:bidi w:val="0"/>
        <w:ind w:hanging="283" w:left="709"/>
        <w:jc w:val="left"/>
        <w:rPr/>
      </w:pPr>
      <w:r>
        <w:rPr/>
        <w:t xml:space="preserve">Confirm the system is usable and correct from the perspective of each department's process owner (05_Business Process Document, Section 10), not just from an engineering test suite. </w:t>
      </w:r>
    </w:p>
    <w:p>
      <w:pPr>
        <w:pStyle w:val="Heading2"/>
        <w:bidi w:val="0"/>
        <w:jc w:val="left"/>
        <w:rPr/>
      </w:pPr>
      <w:r>
        <w:rPr/>
        <w:t>3. Test Levels and Types</w:t>
      </w:r>
    </w:p>
    <w:p>
      <w:pPr>
        <w:pStyle w:val="Heading3"/>
        <w:bidi w:val="0"/>
        <w:jc w:val="left"/>
        <w:rPr/>
      </w:pPr>
      <w:r>
        <w:rPr/>
        <w:t>3.1 Unit Testing</w:t>
      </w:r>
    </w:p>
    <w:p>
      <w:pPr>
        <w:pStyle w:val="BodyText"/>
        <w:bidi w:val="0"/>
        <w:jc w:val="left"/>
        <w:rPr/>
      </w:pPr>
      <w:r>
        <w:rPr/>
        <w:t>Each service's own test suite, run in CI on every commit. Covers service-layer business logic (e.g. BR-03 debit/credit balancing, BR-04 period-close enforcement) and controller-layer request validation, in isolation from other services and from the database where practical (mocked repository layer).</w:t>
      </w:r>
    </w:p>
    <w:p>
      <w:pPr>
        <w:pStyle w:val="Heading3"/>
        <w:bidi w:val="0"/>
        <w:jc w:val="left"/>
        <w:rPr/>
      </w:pPr>
      <w:r>
        <w:rPr/>
        <w:t>3.2 Integration Testing (Within a Service)</w:t>
      </w:r>
    </w:p>
    <w:p>
      <w:pPr>
        <w:pStyle w:val="BodyText"/>
        <w:bidi w:val="0"/>
        <w:jc w:val="left"/>
        <w:rPr/>
      </w:pPr>
      <w:r>
        <w:rPr/>
        <w:t>Each service's own API endpoints tested end-to-end against a real (test) PostgreSQL database — confirms the service's controller → service → repository chain works, and that its own database constraints (08_Database Design Document) are respected.</w:t>
      </w:r>
    </w:p>
    <w:p>
      <w:pPr>
        <w:pStyle w:val="Heading3"/>
        <w:bidi w:val="0"/>
        <w:jc w:val="left"/>
        <w:rPr/>
      </w:pPr>
      <w:r>
        <w:rPr/>
        <w:t xml:space="preserve">3.3 Contract Testing (Between Services) — </w:t>
      </w:r>
      <w:r>
        <w:rPr>
          <w:i/>
        </w:rPr>
        <w:t>required by the microservices architecture</w:t>
      </w:r>
    </w:p>
    <w:p>
      <w:pPr>
        <w:pStyle w:val="BodyText"/>
        <w:bidi w:val="0"/>
        <w:spacing w:before="150" w:after="150"/>
        <w:ind w:hanging="0" w:left="150" w:right="150"/>
        <w:jc w:val="left"/>
        <w:rPr>
          <w:sz w:val="21"/>
          <w:bdr w:val="single" w:sz="24" w:space="9" w:color="D98C00"/>
          <w:shd w:fill="FFF4E5" w:val="clear"/>
        </w:rPr>
      </w:pPr>
      <w:r>
        <w:rPr>
          <w:sz w:val="21"/>
          <w:bdr w:val="single" w:sz="24" w:space="9" w:color="D98C00"/>
          <w:shd w:fill="FFF4E5" w:val="clear"/>
        </w:rPr>
        <w:t>This test level did not exist under the modular-monolith design this project originally scoped; it exists specifically because 07_System Design Document (v2.0) adopted independently deployable services communicating over Kafka. Each event topic in that document's Section 9 needs its producer and every consumer to agree on the payload shape (09_API Specification, Section 11). Contract tests catch a producer accidentally changing an event's shape before it breaks a consumer in production — a failure mode that cannot occur in a single shared-database design and must be tested for explicitly here.</w:t>
      </w:r>
    </w:p>
    <w:p>
      <w:pPr>
        <w:pStyle w:val="BodyText"/>
        <w:numPr>
          <w:ilvl w:val="0"/>
          <w:numId w:val="2"/>
        </w:numPr>
        <w:tabs>
          <w:tab w:val="clear" w:pos="1134"/>
          <w:tab w:val="left" w:pos="709" w:leader="none"/>
        </w:tabs>
        <w:bidi w:val="0"/>
        <w:spacing w:before="0" w:after="0"/>
        <w:ind w:hanging="283" w:left="709"/>
        <w:jc w:val="left"/>
        <w:rPr/>
      </w:pPr>
      <w:r>
        <w:rPr/>
        <w:t xml:space="preserve">Each service that publishes an event (Organization, Identity, Employee, Customer, Supplier, Product, Accounting) has a test asserting its published payload matches the schema in 09_API Specification, Section 11. </w:t>
      </w:r>
    </w:p>
    <w:p>
      <w:pPr>
        <w:pStyle w:val="BodyText"/>
        <w:numPr>
          <w:ilvl w:val="0"/>
          <w:numId w:val="2"/>
        </w:numPr>
        <w:tabs>
          <w:tab w:val="clear" w:pos="1134"/>
          <w:tab w:val="left" w:pos="709" w:leader="none"/>
        </w:tabs>
        <w:bidi w:val="0"/>
        <w:ind w:hanging="283" w:left="709"/>
        <w:jc w:val="left"/>
        <w:rPr/>
      </w:pPr>
      <w:r>
        <w:rPr/>
        <w:t xml:space="preserve">The Audit &amp; Reporting Service, as the consumer of every topic, has a test asserting it correctly parses each event schema and writes the expected </w:t>
      </w:r>
      <w:r>
        <w:rPr>
          <w:rStyle w:val="SourceText"/>
        </w:rPr>
        <w:t>audit_logs</w:t>
      </w:r>
      <w:r>
        <w:rPr/>
        <w:t xml:space="preserve"> row. </w:t>
      </w:r>
    </w:p>
    <w:p>
      <w:pPr>
        <w:pStyle w:val="Heading3"/>
        <w:bidi w:val="0"/>
        <w:jc w:val="left"/>
        <w:rPr/>
      </w:pPr>
      <w:r>
        <w:rPr/>
        <w:t>3.4 System (End-to-End) Testing</w:t>
      </w:r>
    </w:p>
    <w:p>
      <w:pPr>
        <w:pStyle w:val="BodyText"/>
        <w:bidi w:val="0"/>
        <w:jc w:val="left"/>
        <w:rPr/>
      </w:pPr>
      <w:r>
        <w:rPr/>
        <w:t>All eight services, the API Gateway, Kafka, and Redis running together in the staging environment (07_System Design Document, Section 12), exercised through the same API a real client would use. This is where the Acceptance Criteria (SRS Section 11) are actually verified, and where the test cases in Section 8 below are executed.</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Eventual-consistency caveat:</w:t>
      </w:r>
      <w:r>
        <w:rPr>
          <w:sz w:val="21"/>
          <w:bdr w:val="single" w:sz="24" w:space="9" w:color="D98C00"/>
          <w:shd w:fill="FFF4E5" w:val="clear"/>
        </w:rPr>
        <w:t xml:space="preserve"> because cross-service data (e.g. the Dashboard's read models) is updated asynchronously via Kafka (08_Database Design Document, Section 13), system tests that check "does the audit log / dashboard reflect this change" must poll with a timeout rather than assert immediately after the triggering request returns. Test cases in Section 8 that depend on this are marked accordingly.</w:t>
      </w:r>
    </w:p>
    <w:p>
      <w:pPr>
        <w:pStyle w:val="Heading3"/>
        <w:bidi w:val="0"/>
        <w:jc w:val="left"/>
        <w:rPr/>
      </w:pPr>
      <w:r>
        <w:rPr/>
        <w:t>3.5 Security Testing</w:t>
      </w:r>
    </w:p>
    <w:p>
      <w:pPr>
        <w:pStyle w:val="BodyText"/>
        <w:bidi w:val="0"/>
        <w:jc w:val="left"/>
        <w:rPr/>
      </w:pPr>
      <w:r>
        <w:rPr/>
        <w:t>Verifies SEC-01–SEC-07 and the NFR-08/09 encryption requirements. Includes: authorization bypass attempts (cross-company access, role escalation), input-based attacks (SQL injection, XSS, per SEC-02), CSRF (SEC-03), file-upload abuse (SEC-04), and brute-force/rate-limit testing (SEC-05). Should be performed by someone other than the developer of the component being tested, and — per 03_Feasibility Study's recommendation — should include an external review before go-live given the system will hold employee, customer and supplier personal data (Uganda Data Protection and Privacy Act, 2019).</w:t>
      </w:r>
    </w:p>
    <w:p>
      <w:pPr>
        <w:pStyle w:val="Heading3"/>
        <w:bidi w:val="0"/>
        <w:jc w:val="left"/>
        <w:rPr/>
      </w:pPr>
      <w:r>
        <w:rPr/>
        <w:t>3.6 Performance Testing</w:t>
      </w:r>
    </w:p>
    <w:p>
      <w:pPr>
        <w:pStyle w:val="BodyText"/>
        <w:bidi w:val="0"/>
        <w:jc w:val="left"/>
        <w:rPr/>
      </w:pPr>
      <w:r>
        <w:rPr/>
        <w:t>Verifies NFR-01 (page/API response time) and NFR-02 (dashboard load time) under a simulated realistic Phase 1 load (number of concurrent users and data volume to be agreed with the Group before this level begins, since neither is yet quantified). Includes basic load testing of the API Gateway and of the Accounting Service's journal-entry posting path, since BR-03 validation adds computation per request.</w:t>
      </w:r>
    </w:p>
    <w:p>
      <w:pPr>
        <w:pStyle w:val="Heading3"/>
        <w:bidi w:val="0"/>
        <w:jc w:val="left"/>
        <w:rPr/>
      </w:pPr>
      <w:r>
        <w:rPr/>
        <w:t>3.7 Alpha Testing</w:t>
      </w:r>
    </w:p>
    <w:p>
      <w:pPr>
        <w:pStyle w:val="BodyText"/>
        <w:bidi w:val="0"/>
        <w:jc w:val="left"/>
        <w:rPr/>
      </w:pPr>
      <w:r>
        <w:rPr/>
        <w:t>Internal testing by the development team/technology partner and IT Administrator, using realistic (but synthetic) data across all Phase 1 modules, before any business user sees the system. Confirms the system is stable enough to bring department representatives in for UAT.</w:t>
      </w:r>
    </w:p>
    <w:p>
      <w:pPr>
        <w:pStyle w:val="Heading3"/>
        <w:bidi w:val="0"/>
        <w:jc w:val="left"/>
        <w:rPr/>
      </w:pPr>
      <w:r>
        <w:rPr/>
        <w:t>3.8 User Acceptance Testing (UAT)</w:t>
      </w:r>
    </w:p>
    <w:p>
      <w:pPr>
        <w:pStyle w:val="BodyText"/>
        <w:bidi w:val="0"/>
        <w:jc w:val="left"/>
        <w:rPr/>
      </w:pPr>
      <w:r>
        <w:rPr/>
        <w:t>Per the Group's software development procedures, department representatives are given realistic end-to-end scenarios rather than isolated test cases. For Phase 1, since no cross-module business workflow exists yet (06_User Stories' stories are single-service CRUD operations), UAT scenarios are per-module, run by the process owner identified in 05_Business Process Document, Section 10:</w:t>
      </w:r>
    </w:p>
    <w:tbl>
      <w:tblPr>
        <w:tblW w:w="11339" w:type="dxa"/>
        <w:jc w:val="left"/>
        <w:tblInd w:w="28" w:type="dxa"/>
        <w:tblLayout w:type="fixed"/>
        <w:tblCellMar>
          <w:top w:w="28" w:type="dxa"/>
          <w:left w:w="28" w:type="dxa"/>
          <w:bottom w:w="28" w:type="dxa"/>
          <w:right w:w="28" w:type="dxa"/>
        </w:tblCellMar>
      </w:tblPr>
      <w:tblGrid>
        <w:gridCol w:w="2496"/>
        <w:gridCol w:w="2591"/>
        <w:gridCol w:w="6252"/>
      </w:tblGrid>
      <w:tr>
        <w:trPr/>
        <w:tc>
          <w:tcPr>
            <w:tcW w:w="2496" w:type="dxa"/>
            <w:tcBorders/>
            <w:vAlign w:val="center"/>
          </w:tcPr>
          <w:p>
            <w:pPr>
              <w:pStyle w:val="TableHeading"/>
              <w:suppressLineNumbers/>
              <w:shd w:fill="1F3864" w:val="clear"/>
              <w:bidi w:val="0"/>
              <w:spacing w:before="0" w:after="283"/>
              <w:jc w:val="left"/>
              <w:rPr/>
            </w:pPr>
            <w:r>
              <w:rPr/>
              <w:t>Module</w:t>
            </w:r>
          </w:p>
        </w:tc>
        <w:tc>
          <w:tcPr>
            <w:tcW w:w="2591" w:type="dxa"/>
            <w:tcBorders/>
            <w:vAlign w:val="center"/>
          </w:tcPr>
          <w:p>
            <w:pPr>
              <w:pStyle w:val="TableHeading"/>
              <w:suppressLineNumbers/>
              <w:shd w:fill="1F3864" w:val="clear"/>
              <w:bidi w:val="0"/>
              <w:spacing w:before="0" w:after="283"/>
              <w:jc w:val="left"/>
              <w:rPr/>
            </w:pPr>
            <w:r>
              <w:rPr/>
              <w:t>UAT Owner</w:t>
            </w:r>
          </w:p>
        </w:tc>
        <w:tc>
          <w:tcPr>
            <w:tcW w:w="6252" w:type="dxa"/>
            <w:tcBorders/>
            <w:vAlign w:val="center"/>
          </w:tcPr>
          <w:p>
            <w:pPr>
              <w:pStyle w:val="TableHeading"/>
              <w:suppressLineNumbers/>
              <w:shd w:fill="1F3864" w:val="clear"/>
              <w:bidi w:val="0"/>
              <w:spacing w:before="0" w:after="283"/>
              <w:jc w:val="left"/>
              <w:rPr/>
            </w:pPr>
            <w:r>
              <w:rPr/>
              <w:t>Scenario</w:t>
            </w:r>
          </w:p>
        </w:tc>
      </w:tr>
      <w:tr>
        <w:trPr/>
        <w:tc>
          <w:tcPr>
            <w:tcW w:w="2496" w:type="dxa"/>
            <w:tcBorders/>
            <w:vAlign w:val="center"/>
          </w:tcPr>
          <w:p>
            <w:pPr>
              <w:pStyle w:val="TableContents"/>
              <w:bidi w:val="0"/>
              <w:spacing w:before="0" w:after="283"/>
              <w:jc w:val="left"/>
              <w:rPr/>
            </w:pPr>
            <w:r>
              <w:rPr/>
              <w:t>Company/Branch/Department setup</w:t>
            </w:r>
          </w:p>
        </w:tc>
        <w:tc>
          <w:tcPr>
            <w:tcW w:w="2591" w:type="dxa"/>
            <w:tcBorders/>
            <w:vAlign w:val="center"/>
          </w:tcPr>
          <w:p>
            <w:pPr>
              <w:pStyle w:val="TableContents"/>
              <w:bidi w:val="0"/>
              <w:spacing w:before="0" w:after="283"/>
              <w:jc w:val="left"/>
              <w:rPr/>
            </w:pPr>
            <w:r>
              <w:rPr/>
              <w:t>IT Administrator / Group CEO</w:t>
            </w:r>
          </w:p>
        </w:tc>
        <w:tc>
          <w:tcPr>
            <w:tcW w:w="6252" w:type="dxa"/>
            <w:tcBorders/>
            <w:vAlign w:val="center"/>
          </w:tcPr>
          <w:p>
            <w:pPr>
              <w:pStyle w:val="TableContents"/>
              <w:bidi w:val="0"/>
              <w:spacing w:before="0" w:after="283"/>
              <w:jc w:val="left"/>
              <w:rPr/>
            </w:pPr>
            <w:r>
              <w:rPr/>
              <w:t>Register a test subsidiary and branch, assign a user, confirm the hierarchy and dashboard reflect it correctly</w:t>
            </w:r>
          </w:p>
        </w:tc>
      </w:tr>
      <w:tr>
        <w:trPr/>
        <w:tc>
          <w:tcPr>
            <w:tcW w:w="2496" w:type="dxa"/>
            <w:tcBorders/>
            <w:vAlign w:val="center"/>
          </w:tcPr>
          <w:p>
            <w:pPr>
              <w:pStyle w:val="TableContents"/>
              <w:bidi w:val="0"/>
              <w:spacing w:before="0" w:after="283"/>
              <w:jc w:val="left"/>
              <w:rPr/>
            </w:pPr>
            <w:r>
              <w:rPr/>
              <w:t>Employee Records</w:t>
            </w:r>
          </w:p>
        </w:tc>
        <w:tc>
          <w:tcPr>
            <w:tcW w:w="2591" w:type="dxa"/>
            <w:tcBorders/>
            <w:vAlign w:val="center"/>
          </w:tcPr>
          <w:p>
            <w:pPr>
              <w:pStyle w:val="TableContents"/>
              <w:bidi w:val="0"/>
              <w:spacing w:before="0" w:after="283"/>
              <w:jc w:val="left"/>
              <w:rPr/>
            </w:pPr>
            <w:r>
              <w:rPr/>
              <w:t>HR Manager</w:t>
            </w:r>
          </w:p>
        </w:tc>
        <w:tc>
          <w:tcPr>
            <w:tcW w:w="6252" w:type="dxa"/>
            <w:tcBorders/>
            <w:vAlign w:val="center"/>
          </w:tcPr>
          <w:p>
            <w:pPr>
              <w:pStyle w:val="TableContents"/>
              <w:bidi w:val="0"/>
              <w:spacing w:before="0" w:after="283"/>
              <w:jc w:val="left"/>
              <w:rPr/>
            </w:pPr>
            <w:r>
              <w:rPr/>
              <w:t>Register an employee with full details, upload a document, retrieve the record</w:t>
            </w:r>
          </w:p>
        </w:tc>
      </w:tr>
      <w:tr>
        <w:trPr/>
        <w:tc>
          <w:tcPr>
            <w:tcW w:w="2496" w:type="dxa"/>
            <w:tcBorders/>
            <w:vAlign w:val="center"/>
          </w:tcPr>
          <w:p>
            <w:pPr>
              <w:pStyle w:val="TableContents"/>
              <w:bidi w:val="0"/>
              <w:spacing w:before="0" w:after="283"/>
              <w:jc w:val="left"/>
              <w:rPr/>
            </w:pPr>
            <w:r>
              <w:rPr/>
              <w:t>Customer / Supplier Records</w:t>
            </w:r>
          </w:p>
        </w:tc>
        <w:tc>
          <w:tcPr>
            <w:tcW w:w="2591" w:type="dxa"/>
            <w:tcBorders/>
            <w:vAlign w:val="center"/>
          </w:tcPr>
          <w:p>
            <w:pPr>
              <w:pStyle w:val="TableContents"/>
              <w:bidi w:val="0"/>
              <w:spacing w:before="0" w:after="283"/>
              <w:jc w:val="left"/>
              <w:rPr/>
            </w:pPr>
            <w:r>
              <w:rPr/>
              <w:t>Sales Manager / Procurement Officer</w:t>
            </w:r>
          </w:p>
        </w:tc>
        <w:tc>
          <w:tcPr>
            <w:tcW w:w="6252" w:type="dxa"/>
            <w:tcBorders/>
            <w:vAlign w:val="center"/>
          </w:tcPr>
          <w:p>
            <w:pPr>
              <w:pStyle w:val="TableContents"/>
              <w:bidi w:val="0"/>
              <w:spacing w:before="0" w:after="283"/>
              <w:jc w:val="left"/>
              <w:rPr/>
            </w:pPr>
            <w:r>
              <w:rPr/>
              <w:t>Register a customer and a supplier, edit credit terms, view statement/history</w:t>
            </w:r>
          </w:p>
        </w:tc>
      </w:tr>
      <w:tr>
        <w:trPr/>
        <w:tc>
          <w:tcPr>
            <w:tcW w:w="2496" w:type="dxa"/>
            <w:tcBorders/>
            <w:vAlign w:val="center"/>
          </w:tcPr>
          <w:p>
            <w:pPr>
              <w:pStyle w:val="TableContents"/>
              <w:bidi w:val="0"/>
              <w:spacing w:before="0" w:after="283"/>
              <w:jc w:val="left"/>
              <w:rPr/>
            </w:pPr>
            <w:r>
              <w:rPr/>
              <w:t>Product Records</w:t>
            </w:r>
          </w:p>
        </w:tc>
        <w:tc>
          <w:tcPr>
            <w:tcW w:w="2591" w:type="dxa"/>
            <w:tcBorders/>
            <w:vAlign w:val="center"/>
          </w:tcPr>
          <w:p>
            <w:pPr>
              <w:pStyle w:val="TableContents"/>
              <w:bidi w:val="0"/>
              <w:spacing w:before="0" w:after="283"/>
              <w:jc w:val="left"/>
              <w:rPr/>
            </w:pPr>
            <w:r>
              <w:rPr/>
              <w:t>Procurement Officer</w:t>
            </w:r>
          </w:p>
        </w:tc>
        <w:tc>
          <w:tcPr>
            <w:tcW w:w="6252" w:type="dxa"/>
            <w:tcBorders/>
            <w:vAlign w:val="center"/>
          </w:tcPr>
          <w:p>
            <w:pPr>
              <w:pStyle w:val="TableContents"/>
              <w:bidi w:val="0"/>
              <w:spacing w:before="0" w:after="283"/>
              <w:jc w:val="left"/>
              <w:rPr/>
            </w:pPr>
            <w:r>
              <w:rPr/>
              <w:t>Register a product with category and unit of measure</w:t>
            </w:r>
          </w:p>
        </w:tc>
      </w:tr>
      <w:tr>
        <w:trPr/>
        <w:tc>
          <w:tcPr>
            <w:tcW w:w="2496" w:type="dxa"/>
            <w:tcBorders/>
            <w:vAlign w:val="center"/>
          </w:tcPr>
          <w:p>
            <w:pPr>
              <w:pStyle w:val="TableContents"/>
              <w:bidi w:val="0"/>
              <w:spacing w:before="0" w:after="283"/>
              <w:jc w:val="left"/>
              <w:rPr/>
            </w:pPr>
            <w:r>
              <w:rPr/>
              <w:t>Basic Accounting</w:t>
            </w:r>
          </w:p>
        </w:tc>
        <w:tc>
          <w:tcPr>
            <w:tcW w:w="2591" w:type="dxa"/>
            <w:tcBorders/>
            <w:vAlign w:val="center"/>
          </w:tcPr>
          <w:p>
            <w:pPr>
              <w:pStyle w:val="TableContents"/>
              <w:bidi w:val="0"/>
              <w:spacing w:before="0" w:after="283"/>
              <w:jc w:val="left"/>
              <w:rPr/>
            </w:pPr>
            <w:r>
              <w:rPr/>
              <w:t>Finance Manager / Accountant</w:t>
            </w:r>
          </w:p>
        </w:tc>
        <w:tc>
          <w:tcPr>
            <w:tcW w:w="6252" w:type="dxa"/>
            <w:tcBorders/>
            <w:vAlign w:val="center"/>
          </w:tcPr>
          <w:p>
            <w:pPr>
              <w:pStyle w:val="TableContents"/>
              <w:bidi w:val="0"/>
              <w:spacing w:before="0" w:after="283"/>
              <w:jc w:val="left"/>
              <w:rPr/>
            </w:pPr>
            <w:r>
              <w:rPr/>
              <w:t>Set up a chart of accounts, post a balanced journal entry, attempt an unbalanced one, generate a trial balance</w:t>
            </w:r>
          </w:p>
        </w:tc>
      </w:tr>
      <w:tr>
        <w:trPr/>
        <w:tc>
          <w:tcPr>
            <w:tcW w:w="2496" w:type="dxa"/>
            <w:tcBorders/>
            <w:vAlign w:val="center"/>
          </w:tcPr>
          <w:p>
            <w:pPr>
              <w:pStyle w:val="TableContents"/>
              <w:bidi w:val="0"/>
              <w:spacing w:before="0" w:after="283"/>
              <w:jc w:val="left"/>
              <w:rPr/>
            </w:pPr>
            <w:r>
              <w:rPr/>
              <w:t>Audit Trail / Dashboard</w:t>
            </w:r>
          </w:p>
        </w:tc>
        <w:tc>
          <w:tcPr>
            <w:tcW w:w="2591" w:type="dxa"/>
            <w:tcBorders/>
            <w:vAlign w:val="center"/>
          </w:tcPr>
          <w:p>
            <w:pPr>
              <w:pStyle w:val="TableContents"/>
              <w:bidi w:val="0"/>
              <w:spacing w:before="0" w:after="283"/>
              <w:jc w:val="left"/>
              <w:rPr/>
            </w:pPr>
            <w:r>
              <w:rPr/>
              <w:t>External Auditor / Managing Director</w:t>
            </w:r>
          </w:p>
        </w:tc>
        <w:tc>
          <w:tcPr>
            <w:tcW w:w="6252" w:type="dxa"/>
            <w:tcBorders/>
            <w:vAlign w:val="center"/>
          </w:tcPr>
          <w:p>
            <w:pPr>
              <w:pStyle w:val="TableContents"/>
              <w:bidi w:val="0"/>
              <w:spacing w:before="0" w:after="283"/>
              <w:jc w:val="left"/>
              <w:rPr/>
            </w:pPr>
            <w:r>
              <w:rPr/>
              <w:t>Confirm actions taken during the above scenarios appear correctly in the audit trail and dashboard</w:t>
            </w:r>
          </w:p>
        </w:tc>
      </w:tr>
    </w:tbl>
    <w:p>
      <w:pPr>
        <w:pStyle w:val="Heading2"/>
        <w:bidi w:val="0"/>
        <w:jc w:val="left"/>
        <w:rPr/>
      </w:pPr>
      <w:r>
        <w:rPr/>
        <w:t>4. Test Environments</w:t>
      </w:r>
    </w:p>
    <w:tbl>
      <w:tblPr>
        <w:tblW w:w="11339" w:type="dxa"/>
        <w:jc w:val="left"/>
        <w:tblInd w:w="28" w:type="dxa"/>
        <w:tblLayout w:type="fixed"/>
        <w:tblCellMar>
          <w:top w:w="28" w:type="dxa"/>
          <w:left w:w="28" w:type="dxa"/>
          <w:bottom w:w="28" w:type="dxa"/>
          <w:right w:w="28" w:type="dxa"/>
        </w:tblCellMar>
      </w:tblPr>
      <w:tblGrid>
        <w:gridCol w:w="1385"/>
        <w:gridCol w:w="9954"/>
      </w:tblGrid>
      <w:tr>
        <w:trPr/>
        <w:tc>
          <w:tcPr>
            <w:tcW w:w="1385" w:type="dxa"/>
            <w:tcBorders/>
            <w:vAlign w:val="center"/>
          </w:tcPr>
          <w:p>
            <w:pPr>
              <w:pStyle w:val="TableHeading"/>
              <w:suppressLineNumbers/>
              <w:shd w:fill="1F3864" w:val="clear"/>
              <w:bidi w:val="0"/>
              <w:spacing w:before="0" w:after="283"/>
              <w:jc w:val="left"/>
              <w:rPr/>
            </w:pPr>
            <w:r>
              <w:rPr/>
              <w:t>Environment</w:t>
            </w:r>
          </w:p>
        </w:tc>
        <w:tc>
          <w:tcPr>
            <w:tcW w:w="9954" w:type="dxa"/>
            <w:tcBorders/>
            <w:vAlign w:val="center"/>
          </w:tcPr>
          <w:p>
            <w:pPr>
              <w:pStyle w:val="TableHeading"/>
              <w:suppressLineNumbers/>
              <w:shd w:fill="1F3864" w:val="clear"/>
              <w:bidi w:val="0"/>
              <w:spacing w:before="0" w:after="283"/>
              <w:jc w:val="left"/>
              <w:rPr/>
            </w:pPr>
            <w:r>
              <w:rPr/>
              <w:t>Used For</w:t>
            </w:r>
          </w:p>
        </w:tc>
      </w:tr>
      <w:tr>
        <w:trPr/>
        <w:tc>
          <w:tcPr>
            <w:tcW w:w="1385" w:type="dxa"/>
            <w:tcBorders/>
            <w:vAlign w:val="center"/>
          </w:tcPr>
          <w:p>
            <w:pPr>
              <w:pStyle w:val="TableContents"/>
              <w:bidi w:val="0"/>
              <w:spacing w:before="0" w:after="283"/>
              <w:jc w:val="left"/>
              <w:rPr/>
            </w:pPr>
            <w:r>
              <w:rPr/>
              <w:t>Development</w:t>
            </w:r>
          </w:p>
        </w:tc>
        <w:tc>
          <w:tcPr>
            <w:tcW w:w="9954" w:type="dxa"/>
            <w:tcBorders/>
            <w:vAlign w:val="center"/>
          </w:tcPr>
          <w:p>
            <w:pPr>
              <w:pStyle w:val="TableContents"/>
              <w:bidi w:val="0"/>
              <w:spacing w:before="0" w:after="283"/>
              <w:jc w:val="left"/>
              <w:rPr/>
            </w:pPr>
            <w:r>
              <w:rPr/>
              <w:t>Unit testing, local integration testing (per 07_System Design Document, Section 12)</w:t>
            </w:r>
          </w:p>
        </w:tc>
      </w:tr>
      <w:tr>
        <w:trPr/>
        <w:tc>
          <w:tcPr>
            <w:tcW w:w="1385" w:type="dxa"/>
            <w:tcBorders/>
            <w:vAlign w:val="center"/>
          </w:tcPr>
          <w:p>
            <w:pPr>
              <w:pStyle w:val="TableContents"/>
              <w:bidi w:val="0"/>
              <w:spacing w:before="0" w:after="283"/>
              <w:jc w:val="left"/>
              <w:rPr/>
            </w:pPr>
            <w:r>
              <w:rPr/>
              <w:t>Staging</w:t>
            </w:r>
          </w:p>
        </w:tc>
        <w:tc>
          <w:tcPr>
            <w:tcW w:w="9954" w:type="dxa"/>
            <w:tcBorders/>
            <w:vAlign w:val="center"/>
          </w:tcPr>
          <w:p>
            <w:pPr>
              <w:pStyle w:val="TableContents"/>
              <w:bidi w:val="0"/>
              <w:spacing w:before="0" w:after="283"/>
              <w:jc w:val="left"/>
              <w:rPr/>
            </w:pPr>
            <w:r>
              <w:rPr/>
              <w:t>Contract testing, system testing, security testing, performance testing, UAT — mirrors production configuration, all eight services + Kafka + observability stack deployed together</w:t>
            </w:r>
          </w:p>
        </w:tc>
      </w:tr>
      <w:tr>
        <w:trPr/>
        <w:tc>
          <w:tcPr>
            <w:tcW w:w="1385" w:type="dxa"/>
            <w:tcBorders/>
            <w:vAlign w:val="center"/>
          </w:tcPr>
          <w:p>
            <w:pPr>
              <w:pStyle w:val="TableContents"/>
              <w:bidi w:val="0"/>
              <w:spacing w:before="0" w:after="283"/>
              <w:jc w:val="left"/>
              <w:rPr/>
            </w:pPr>
            <w:r>
              <w:rPr/>
              <w:t>Production</w:t>
            </w:r>
          </w:p>
        </w:tc>
        <w:tc>
          <w:tcPr>
            <w:tcW w:w="9954" w:type="dxa"/>
            <w:tcBorders/>
            <w:vAlign w:val="center"/>
          </w:tcPr>
          <w:p>
            <w:pPr>
              <w:pStyle w:val="TableContents"/>
              <w:bidi w:val="0"/>
              <w:spacing w:before="0" w:after="283"/>
              <w:jc w:val="left"/>
              <w:rPr/>
            </w:pPr>
            <w:r>
              <w:rPr/>
              <w:t>Post-go-live smoke testing only, not exploratory testing</w:t>
            </w:r>
          </w:p>
        </w:tc>
      </w:tr>
    </w:tbl>
    <w:p>
      <w:pPr>
        <w:pStyle w:val="Heading2"/>
        <w:bidi w:val="0"/>
        <w:jc w:val="left"/>
        <w:rPr/>
      </w:pPr>
      <w:r>
        <w:rPr/>
        <w:t>5. Entry and Exit Criteria</w:t>
      </w:r>
    </w:p>
    <w:tbl>
      <w:tblPr>
        <w:tblW w:w="11339" w:type="dxa"/>
        <w:jc w:val="left"/>
        <w:tblInd w:w="28" w:type="dxa"/>
        <w:tblLayout w:type="fixed"/>
        <w:tblCellMar>
          <w:top w:w="28" w:type="dxa"/>
          <w:left w:w="28" w:type="dxa"/>
          <w:bottom w:w="28" w:type="dxa"/>
          <w:right w:w="28" w:type="dxa"/>
        </w:tblCellMar>
      </w:tblPr>
      <w:tblGrid>
        <w:gridCol w:w="1675"/>
        <w:gridCol w:w="3685"/>
        <w:gridCol w:w="5979"/>
      </w:tblGrid>
      <w:tr>
        <w:trPr/>
        <w:tc>
          <w:tcPr>
            <w:tcW w:w="1675" w:type="dxa"/>
            <w:tcBorders/>
            <w:vAlign w:val="center"/>
          </w:tcPr>
          <w:p>
            <w:pPr>
              <w:pStyle w:val="TableHeading"/>
              <w:suppressLineNumbers/>
              <w:shd w:fill="1F3864" w:val="clear"/>
              <w:bidi w:val="0"/>
              <w:spacing w:before="0" w:after="283"/>
              <w:jc w:val="left"/>
              <w:rPr/>
            </w:pPr>
            <w:r>
              <w:rPr/>
              <w:t>Test Level</w:t>
            </w:r>
          </w:p>
        </w:tc>
        <w:tc>
          <w:tcPr>
            <w:tcW w:w="3685" w:type="dxa"/>
            <w:tcBorders/>
            <w:vAlign w:val="center"/>
          </w:tcPr>
          <w:p>
            <w:pPr>
              <w:pStyle w:val="TableHeading"/>
              <w:suppressLineNumbers/>
              <w:shd w:fill="1F3864" w:val="clear"/>
              <w:bidi w:val="0"/>
              <w:spacing w:before="0" w:after="283"/>
              <w:jc w:val="left"/>
              <w:rPr/>
            </w:pPr>
            <w:r>
              <w:rPr/>
              <w:t>Entry Criteria</w:t>
            </w:r>
          </w:p>
        </w:tc>
        <w:tc>
          <w:tcPr>
            <w:tcW w:w="5979" w:type="dxa"/>
            <w:tcBorders/>
            <w:vAlign w:val="center"/>
          </w:tcPr>
          <w:p>
            <w:pPr>
              <w:pStyle w:val="TableHeading"/>
              <w:suppressLineNumbers/>
              <w:shd w:fill="1F3864" w:val="clear"/>
              <w:bidi w:val="0"/>
              <w:spacing w:before="0" w:after="283"/>
              <w:jc w:val="left"/>
              <w:rPr/>
            </w:pPr>
            <w:r>
              <w:rPr/>
              <w:t>Exit Criteria</w:t>
            </w:r>
          </w:p>
        </w:tc>
      </w:tr>
      <w:tr>
        <w:trPr/>
        <w:tc>
          <w:tcPr>
            <w:tcW w:w="1675" w:type="dxa"/>
            <w:tcBorders/>
            <w:vAlign w:val="center"/>
          </w:tcPr>
          <w:p>
            <w:pPr>
              <w:pStyle w:val="TableContents"/>
              <w:bidi w:val="0"/>
              <w:spacing w:before="0" w:after="283"/>
              <w:jc w:val="left"/>
              <w:rPr/>
            </w:pPr>
            <w:r>
              <w:rPr/>
              <w:t>Unit</w:t>
            </w:r>
          </w:p>
        </w:tc>
        <w:tc>
          <w:tcPr>
            <w:tcW w:w="3685" w:type="dxa"/>
            <w:tcBorders/>
            <w:vAlign w:val="center"/>
          </w:tcPr>
          <w:p>
            <w:pPr>
              <w:pStyle w:val="TableContents"/>
              <w:bidi w:val="0"/>
              <w:spacing w:before="0" w:after="283"/>
              <w:jc w:val="left"/>
              <w:rPr/>
            </w:pPr>
            <w:r>
              <w:rPr/>
              <w:t>Story code-complete (per 06_User Stories, Definition of Done)</w:t>
            </w:r>
          </w:p>
        </w:tc>
        <w:tc>
          <w:tcPr>
            <w:tcW w:w="5979" w:type="dxa"/>
            <w:tcBorders/>
            <w:vAlign w:val="center"/>
          </w:tcPr>
          <w:p>
            <w:pPr>
              <w:pStyle w:val="TableContents"/>
              <w:bidi w:val="0"/>
              <w:spacing w:before="0" w:after="283"/>
              <w:jc w:val="left"/>
              <w:rPr/>
            </w:pPr>
            <w:r>
              <w:rPr/>
              <w:t>All unit tests pass; coverage target agreed with the development partner (NFR-11) met</w:t>
            </w:r>
          </w:p>
        </w:tc>
      </w:tr>
      <w:tr>
        <w:trPr/>
        <w:tc>
          <w:tcPr>
            <w:tcW w:w="1675" w:type="dxa"/>
            <w:tcBorders/>
            <w:vAlign w:val="center"/>
          </w:tcPr>
          <w:p>
            <w:pPr>
              <w:pStyle w:val="TableContents"/>
              <w:bidi w:val="0"/>
              <w:spacing w:before="0" w:after="283"/>
              <w:jc w:val="left"/>
              <w:rPr/>
            </w:pPr>
            <w:r>
              <w:rPr/>
              <w:t>Integration (within service)</w:t>
            </w:r>
          </w:p>
        </w:tc>
        <w:tc>
          <w:tcPr>
            <w:tcW w:w="3685" w:type="dxa"/>
            <w:tcBorders/>
            <w:vAlign w:val="center"/>
          </w:tcPr>
          <w:p>
            <w:pPr>
              <w:pStyle w:val="TableContents"/>
              <w:bidi w:val="0"/>
              <w:spacing w:before="0" w:after="283"/>
              <w:jc w:val="left"/>
              <w:rPr/>
            </w:pPr>
            <w:r>
              <w:rPr/>
              <w:t>Unit tests passing for that service</w:t>
            </w:r>
          </w:p>
        </w:tc>
        <w:tc>
          <w:tcPr>
            <w:tcW w:w="5979" w:type="dxa"/>
            <w:tcBorders/>
            <w:vAlign w:val="center"/>
          </w:tcPr>
          <w:p>
            <w:pPr>
              <w:pStyle w:val="TableContents"/>
              <w:bidi w:val="0"/>
              <w:spacing w:before="0" w:after="283"/>
              <w:jc w:val="left"/>
              <w:rPr/>
            </w:pPr>
            <w:r>
              <w:rPr/>
              <w:t>All the service's API endpoints (09_API Specification) verified against a real database</w:t>
            </w:r>
          </w:p>
        </w:tc>
      </w:tr>
      <w:tr>
        <w:trPr/>
        <w:tc>
          <w:tcPr>
            <w:tcW w:w="1675" w:type="dxa"/>
            <w:tcBorders/>
            <w:vAlign w:val="center"/>
          </w:tcPr>
          <w:p>
            <w:pPr>
              <w:pStyle w:val="TableContents"/>
              <w:bidi w:val="0"/>
              <w:spacing w:before="0" w:after="283"/>
              <w:jc w:val="left"/>
              <w:rPr/>
            </w:pPr>
            <w:r>
              <w:rPr/>
              <w:t>Contract</w:t>
            </w:r>
          </w:p>
        </w:tc>
        <w:tc>
          <w:tcPr>
            <w:tcW w:w="3685" w:type="dxa"/>
            <w:tcBorders/>
            <w:vAlign w:val="center"/>
          </w:tcPr>
          <w:p>
            <w:pPr>
              <w:pStyle w:val="TableContents"/>
              <w:bidi w:val="0"/>
              <w:spacing w:before="0" w:after="283"/>
              <w:jc w:val="left"/>
              <w:rPr/>
            </w:pPr>
            <w:r>
              <w:rPr/>
              <w:t>Both producer and consumer of an event topic have integration-tested independently</w:t>
            </w:r>
          </w:p>
        </w:tc>
        <w:tc>
          <w:tcPr>
            <w:tcW w:w="5979" w:type="dxa"/>
            <w:tcBorders/>
            <w:vAlign w:val="center"/>
          </w:tcPr>
          <w:p>
            <w:pPr>
              <w:pStyle w:val="TableContents"/>
              <w:bidi w:val="0"/>
              <w:spacing w:before="0" w:after="283"/>
              <w:jc w:val="left"/>
              <w:rPr/>
            </w:pPr>
            <w:r>
              <w:rPr/>
              <w:t>All Section 9 event topics (07_System Design Document) verified schema-compatible</w:t>
            </w:r>
          </w:p>
        </w:tc>
      </w:tr>
      <w:tr>
        <w:trPr/>
        <w:tc>
          <w:tcPr>
            <w:tcW w:w="1675" w:type="dxa"/>
            <w:tcBorders/>
            <w:vAlign w:val="center"/>
          </w:tcPr>
          <w:p>
            <w:pPr>
              <w:pStyle w:val="TableContents"/>
              <w:bidi w:val="0"/>
              <w:spacing w:before="0" w:after="283"/>
              <w:jc w:val="left"/>
              <w:rPr/>
            </w:pPr>
            <w:r>
              <w:rPr/>
              <w:t>System</w:t>
            </w:r>
          </w:p>
        </w:tc>
        <w:tc>
          <w:tcPr>
            <w:tcW w:w="3685" w:type="dxa"/>
            <w:tcBorders/>
            <w:vAlign w:val="center"/>
          </w:tcPr>
          <w:p>
            <w:pPr>
              <w:pStyle w:val="TableContents"/>
              <w:bidi w:val="0"/>
              <w:spacing w:before="0" w:after="283"/>
              <w:jc w:val="left"/>
              <w:rPr/>
            </w:pPr>
            <w:r>
              <w:rPr/>
              <w:t>All Phase 1 services + Gateway + Kafka deployed together in staging; contract tests passing</w:t>
            </w:r>
          </w:p>
        </w:tc>
        <w:tc>
          <w:tcPr>
            <w:tcW w:w="5979" w:type="dxa"/>
            <w:tcBorders/>
            <w:vAlign w:val="center"/>
          </w:tcPr>
          <w:p>
            <w:pPr>
              <w:pStyle w:val="TableContents"/>
              <w:bidi w:val="0"/>
              <w:spacing w:before="0" w:after="283"/>
              <w:jc w:val="left"/>
              <w:rPr/>
            </w:pPr>
            <w:r>
              <w:rPr/>
              <w:t>All test cases in Section 8 pass; all AC-01–AC-11 demonstrated</w:t>
            </w:r>
          </w:p>
        </w:tc>
      </w:tr>
      <w:tr>
        <w:trPr/>
        <w:tc>
          <w:tcPr>
            <w:tcW w:w="1675" w:type="dxa"/>
            <w:tcBorders/>
            <w:vAlign w:val="center"/>
          </w:tcPr>
          <w:p>
            <w:pPr>
              <w:pStyle w:val="TableContents"/>
              <w:bidi w:val="0"/>
              <w:spacing w:before="0" w:after="283"/>
              <w:jc w:val="left"/>
              <w:rPr/>
            </w:pPr>
            <w:r>
              <w:rPr/>
              <w:t>Security</w:t>
            </w:r>
          </w:p>
        </w:tc>
        <w:tc>
          <w:tcPr>
            <w:tcW w:w="3685" w:type="dxa"/>
            <w:tcBorders/>
            <w:vAlign w:val="center"/>
          </w:tcPr>
          <w:p>
            <w:pPr>
              <w:pStyle w:val="TableContents"/>
              <w:bidi w:val="0"/>
              <w:spacing w:before="0" w:after="283"/>
              <w:jc w:val="left"/>
              <w:rPr/>
            </w:pPr>
            <w:r>
              <w:rPr/>
              <w:t>System testing passed</w:t>
            </w:r>
          </w:p>
        </w:tc>
        <w:tc>
          <w:tcPr>
            <w:tcW w:w="5979" w:type="dxa"/>
            <w:tcBorders/>
            <w:vAlign w:val="center"/>
          </w:tcPr>
          <w:p>
            <w:pPr>
              <w:pStyle w:val="TableContents"/>
              <w:bidi w:val="0"/>
              <w:spacing w:before="0" w:after="283"/>
              <w:jc w:val="left"/>
              <w:rPr/>
            </w:pPr>
            <w:r>
              <w:rPr/>
              <w:t>No open Critical or High severity findings (Section 9 defect severity)</w:t>
            </w:r>
          </w:p>
        </w:tc>
      </w:tr>
      <w:tr>
        <w:trPr/>
        <w:tc>
          <w:tcPr>
            <w:tcW w:w="1675" w:type="dxa"/>
            <w:tcBorders/>
            <w:vAlign w:val="center"/>
          </w:tcPr>
          <w:p>
            <w:pPr>
              <w:pStyle w:val="TableContents"/>
              <w:bidi w:val="0"/>
              <w:spacing w:before="0" w:after="283"/>
              <w:jc w:val="left"/>
              <w:rPr/>
            </w:pPr>
            <w:r>
              <w:rPr/>
              <w:t>Performance</w:t>
            </w:r>
          </w:p>
        </w:tc>
        <w:tc>
          <w:tcPr>
            <w:tcW w:w="3685" w:type="dxa"/>
            <w:tcBorders/>
            <w:vAlign w:val="center"/>
          </w:tcPr>
          <w:p>
            <w:pPr>
              <w:pStyle w:val="TableContents"/>
              <w:bidi w:val="0"/>
              <w:spacing w:before="0" w:after="283"/>
              <w:jc w:val="left"/>
              <w:rPr/>
            </w:pPr>
            <w:r>
              <w:rPr/>
              <w:t>System testing passed</w:t>
            </w:r>
          </w:p>
        </w:tc>
        <w:tc>
          <w:tcPr>
            <w:tcW w:w="5979" w:type="dxa"/>
            <w:tcBorders/>
            <w:vAlign w:val="center"/>
          </w:tcPr>
          <w:p>
            <w:pPr>
              <w:pStyle w:val="TableContents"/>
              <w:bidi w:val="0"/>
              <w:spacing w:before="0" w:after="283"/>
              <w:jc w:val="left"/>
              <w:rPr/>
            </w:pPr>
            <w:r>
              <w:rPr/>
              <w:t>NFR-01/02 targets met, or formally re-baselined with the Board's awareness (per 03_Feasibility Study's caution that original estimates assumed the simpler monolith design)</w:t>
            </w:r>
          </w:p>
        </w:tc>
      </w:tr>
      <w:tr>
        <w:trPr/>
        <w:tc>
          <w:tcPr>
            <w:tcW w:w="1675" w:type="dxa"/>
            <w:tcBorders/>
            <w:vAlign w:val="center"/>
          </w:tcPr>
          <w:p>
            <w:pPr>
              <w:pStyle w:val="TableContents"/>
              <w:bidi w:val="0"/>
              <w:spacing w:before="0" w:after="283"/>
              <w:jc w:val="left"/>
              <w:rPr/>
            </w:pPr>
            <w:r>
              <w:rPr/>
              <w:t>UAT</w:t>
            </w:r>
          </w:p>
        </w:tc>
        <w:tc>
          <w:tcPr>
            <w:tcW w:w="3685" w:type="dxa"/>
            <w:tcBorders/>
            <w:vAlign w:val="center"/>
          </w:tcPr>
          <w:p>
            <w:pPr>
              <w:pStyle w:val="TableContents"/>
              <w:bidi w:val="0"/>
              <w:spacing w:before="0" w:after="283"/>
              <w:jc w:val="left"/>
              <w:rPr/>
            </w:pPr>
            <w:r>
              <w:rPr/>
              <w:t>Alpha testing passed; staging stable for at least one week without a Critical defect</w:t>
            </w:r>
          </w:p>
        </w:tc>
        <w:tc>
          <w:tcPr>
            <w:tcW w:w="5979" w:type="dxa"/>
            <w:tcBorders/>
            <w:vAlign w:val="center"/>
          </w:tcPr>
          <w:p>
            <w:pPr>
              <w:pStyle w:val="TableContents"/>
              <w:bidi w:val="0"/>
              <w:spacing w:before="0" w:after="283"/>
              <w:jc w:val="left"/>
              <w:rPr/>
            </w:pPr>
            <w:r>
              <w:rPr/>
              <w:t>Sign-off obtained from every process owner in Section 3.8's table</w:t>
            </w:r>
          </w:p>
        </w:tc>
      </w:tr>
      <w:tr>
        <w:trPr/>
        <w:tc>
          <w:tcPr>
            <w:tcW w:w="1675" w:type="dxa"/>
            <w:tcBorders/>
            <w:vAlign w:val="center"/>
          </w:tcPr>
          <w:p>
            <w:pPr>
              <w:pStyle w:val="TableContents"/>
              <w:bidi w:val="0"/>
              <w:spacing w:before="0" w:after="283"/>
              <w:jc w:val="left"/>
              <w:rPr/>
            </w:pPr>
            <w:r>
              <w:rPr/>
              <w:t>Go-live</w:t>
            </w:r>
          </w:p>
        </w:tc>
        <w:tc>
          <w:tcPr>
            <w:tcW w:w="3685" w:type="dxa"/>
            <w:tcBorders/>
            <w:vAlign w:val="center"/>
          </w:tcPr>
          <w:p>
            <w:pPr>
              <w:pStyle w:val="TableContents"/>
              <w:bidi w:val="0"/>
              <w:spacing w:before="0" w:after="283"/>
              <w:jc w:val="left"/>
              <w:rPr/>
            </w:pPr>
            <w:r>
              <w:rPr/>
              <w:t>UAT sign-off obtained; Section 10's exit checklist complete</w:t>
            </w:r>
          </w:p>
        </w:tc>
        <w:tc>
          <w:tcPr>
            <w:tcW w:w="5979" w:type="dxa"/>
            <w:tcBorders/>
            <w:vAlign w:val="center"/>
          </w:tcPr>
          <w:p>
            <w:pPr>
              <w:pStyle w:val="TableContents"/>
              <w:bidi w:val="0"/>
              <w:spacing w:before="0" w:after="283"/>
              <w:jc w:val="left"/>
              <w:rPr/>
            </w:pPr>
            <w:r>
              <w:rPr/>
              <w:t>—</w:t>
            </w:r>
          </w:p>
        </w:tc>
      </w:tr>
    </w:tbl>
    <w:p>
      <w:pPr>
        <w:pStyle w:val="Heading2"/>
        <w:bidi w:val="0"/>
        <w:jc w:val="left"/>
        <w:rPr/>
      </w:pPr>
      <w:r>
        <w:rPr/>
        <w:t>6. Test Schedule</w:t>
      </w:r>
    </w:p>
    <w:p>
      <w:pPr>
        <w:pStyle w:val="BodyText"/>
        <w:bidi w:val="0"/>
        <w:jc w:val="left"/>
        <w:rPr/>
      </w:pPr>
      <w:r>
        <w:rPr/>
        <w:t>Aligned to the sprint plan in 06_User Stories, Section 3, with two testing-focused sprints added after development, consistent with 03_Feasibility Study's caution that schedule estimates need re-confirmation for the microservices architecture:</w:t>
      </w:r>
    </w:p>
    <w:tbl>
      <w:tblPr>
        <w:tblW w:w="10263" w:type="dxa"/>
        <w:jc w:val="left"/>
        <w:tblInd w:w="28" w:type="dxa"/>
        <w:tblLayout w:type="fixed"/>
        <w:tblCellMar>
          <w:top w:w="28" w:type="dxa"/>
          <w:left w:w="28" w:type="dxa"/>
          <w:bottom w:w="28" w:type="dxa"/>
          <w:right w:w="28" w:type="dxa"/>
        </w:tblCellMar>
      </w:tblPr>
      <w:tblGrid>
        <w:gridCol w:w="1343"/>
        <w:gridCol w:w="8920"/>
      </w:tblGrid>
      <w:tr>
        <w:trPr/>
        <w:tc>
          <w:tcPr>
            <w:tcW w:w="1343" w:type="dxa"/>
            <w:tcBorders/>
            <w:vAlign w:val="center"/>
          </w:tcPr>
          <w:p>
            <w:pPr>
              <w:pStyle w:val="TableHeading"/>
              <w:suppressLineNumbers/>
              <w:shd w:fill="1F3864" w:val="clear"/>
              <w:bidi w:val="0"/>
              <w:spacing w:before="0" w:after="283"/>
              <w:jc w:val="left"/>
              <w:rPr/>
            </w:pPr>
            <w:r>
              <w:rPr/>
              <w:t>Sprint</w:t>
            </w:r>
          </w:p>
        </w:tc>
        <w:tc>
          <w:tcPr>
            <w:tcW w:w="8920" w:type="dxa"/>
            <w:tcBorders/>
            <w:vAlign w:val="center"/>
          </w:tcPr>
          <w:p>
            <w:pPr>
              <w:pStyle w:val="TableHeading"/>
              <w:suppressLineNumbers/>
              <w:shd w:fill="1F3864" w:val="clear"/>
              <w:bidi w:val="0"/>
              <w:spacing w:before="0" w:after="283"/>
              <w:jc w:val="left"/>
              <w:rPr/>
            </w:pPr>
            <w:r>
              <w:rPr/>
              <w:t>Testing Activity</w:t>
            </w:r>
          </w:p>
        </w:tc>
      </w:tr>
      <w:tr>
        <w:trPr/>
        <w:tc>
          <w:tcPr>
            <w:tcW w:w="1343" w:type="dxa"/>
            <w:tcBorders/>
            <w:vAlign w:val="center"/>
          </w:tcPr>
          <w:p>
            <w:pPr>
              <w:pStyle w:val="TableContents"/>
              <w:bidi w:val="0"/>
              <w:spacing w:before="0" w:after="283"/>
              <w:jc w:val="left"/>
              <w:rPr/>
            </w:pPr>
            <w:r>
              <w:rPr/>
              <w:t>Sprint 0</w:t>
            </w:r>
          </w:p>
        </w:tc>
        <w:tc>
          <w:tcPr>
            <w:tcW w:w="8920" w:type="dxa"/>
            <w:tcBorders/>
            <w:vAlign w:val="center"/>
          </w:tcPr>
          <w:p>
            <w:pPr>
              <w:pStyle w:val="TableContents"/>
              <w:bidi w:val="0"/>
              <w:spacing w:before="0" w:after="283"/>
              <w:jc w:val="left"/>
              <w:rPr/>
            </w:pPr>
            <w:r>
              <w:rPr/>
              <w:t>Test environment and CI pipeline setup (per service), contract-testing tooling selected</w:t>
            </w:r>
          </w:p>
        </w:tc>
      </w:tr>
      <w:tr>
        <w:trPr/>
        <w:tc>
          <w:tcPr>
            <w:tcW w:w="1343" w:type="dxa"/>
            <w:tcBorders/>
            <w:vAlign w:val="center"/>
          </w:tcPr>
          <w:p>
            <w:pPr>
              <w:pStyle w:val="TableContents"/>
              <w:bidi w:val="0"/>
              <w:spacing w:before="0" w:after="283"/>
              <w:jc w:val="left"/>
              <w:rPr/>
            </w:pPr>
            <w:r>
              <w:rPr/>
              <w:t>Sprints 1–6</w:t>
            </w:r>
          </w:p>
        </w:tc>
        <w:tc>
          <w:tcPr>
            <w:tcW w:w="8920" w:type="dxa"/>
            <w:tcBorders/>
            <w:vAlign w:val="center"/>
          </w:tcPr>
          <w:p>
            <w:pPr>
              <w:pStyle w:val="TableContents"/>
              <w:bidi w:val="0"/>
              <w:spacing w:before="0" w:after="283"/>
              <w:jc w:val="left"/>
              <w:rPr/>
            </w:pPr>
            <w:r>
              <w:rPr/>
              <w:t>Unit + integration testing continuously, per story, as part of each story's Definition of Done</w:t>
            </w:r>
          </w:p>
        </w:tc>
      </w:tr>
      <w:tr>
        <w:trPr/>
        <w:tc>
          <w:tcPr>
            <w:tcW w:w="1343" w:type="dxa"/>
            <w:tcBorders/>
            <w:vAlign w:val="center"/>
          </w:tcPr>
          <w:p>
            <w:pPr>
              <w:pStyle w:val="TableContents"/>
              <w:bidi w:val="0"/>
              <w:spacing w:before="0" w:after="283"/>
              <w:jc w:val="left"/>
              <w:rPr/>
            </w:pPr>
            <w:r>
              <w:rPr/>
              <w:t xml:space="preserve">Sprint 7 </w:t>
            </w:r>
            <w:r>
              <w:rPr>
                <w:i/>
              </w:rPr>
              <w:t>(new)</w:t>
            </w:r>
          </w:p>
        </w:tc>
        <w:tc>
          <w:tcPr>
            <w:tcW w:w="8920" w:type="dxa"/>
            <w:tcBorders/>
            <w:vAlign w:val="center"/>
          </w:tcPr>
          <w:p>
            <w:pPr>
              <w:pStyle w:val="TableContents"/>
              <w:bidi w:val="0"/>
              <w:spacing w:before="0" w:after="283"/>
              <w:jc w:val="left"/>
              <w:rPr/>
            </w:pPr>
            <w:r>
              <w:rPr/>
              <w:t>Contract testing across all services; system testing against Section 8's test cases; security testing</w:t>
            </w:r>
          </w:p>
        </w:tc>
      </w:tr>
      <w:tr>
        <w:trPr/>
        <w:tc>
          <w:tcPr>
            <w:tcW w:w="1343" w:type="dxa"/>
            <w:tcBorders/>
            <w:vAlign w:val="center"/>
          </w:tcPr>
          <w:p>
            <w:pPr>
              <w:pStyle w:val="TableContents"/>
              <w:bidi w:val="0"/>
              <w:spacing w:before="0" w:after="283"/>
              <w:jc w:val="left"/>
              <w:rPr/>
            </w:pPr>
            <w:r>
              <w:rPr/>
              <w:t xml:space="preserve">Sprint 8 </w:t>
            </w:r>
            <w:r>
              <w:rPr>
                <w:i/>
              </w:rPr>
              <w:t>(new)</w:t>
            </w:r>
          </w:p>
        </w:tc>
        <w:tc>
          <w:tcPr>
            <w:tcW w:w="8920" w:type="dxa"/>
            <w:tcBorders/>
            <w:vAlign w:val="center"/>
          </w:tcPr>
          <w:p>
            <w:pPr>
              <w:pStyle w:val="TableContents"/>
              <w:bidi w:val="0"/>
              <w:spacing w:before="0" w:after="283"/>
              <w:jc w:val="left"/>
              <w:rPr/>
            </w:pPr>
            <w:r>
              <w:rPr/>
              <w:t>Performance testing; defect fixing; Alpha sign-off; UAT begins</w:t>
            </w:r>
          </w:p>
        </w:tc>
      </w:tr>
      <w:tr>
        <w:trPr/>
        <w:tc>
          <w:tcPr>
            <w:tcW w:w="1343" w:type="dxa"/>
            <w:tcBorders/>
            <w:vAlign w:val="center"/>
          </w:tcPr>
          <w:p>
            <w:pPr>
              <w:pStyle w:val="TableContents"/>
              <w:bidi w:val="0"/>
              <w:spacing w:before="0" w:after="283"/>
              <w:jc w:val="left"/>
              <w:rPr/>
            </w:pPr>
            <w:r>
              <w:rPr/>
              <w:t>Post-Sprint 8</w:t>
            </w:r>
          </w:p>
        </w:tc>
        <w:tc>
          <w:tcPr>
            <w:tcW w:w="8920" w:type="dxa"/>
            <w:tcBorders/>
            <w:vAlign w:val="center"/>
          </w:tcPr>
          <w:p>
            <w:pPr>
              <w:pStyle w:val="TableContents"/>
              <w:bidi w:val="0"/>
              <w:spacing w:before="0" w:after="283"/>
              <w:jc w:val="left"/>
              <w:rPr/>
            </w:pPr>
            <w:r>
              <w:rPr/>
              <w:t>UAT completion and sign-off; pilot subsidiary deployment (per 01_Project Proposal, Section 8)</w:t>
            </w:r>
          </w:p>
        </w:tc>
      </w:tr>
    </w:tbl>
    <w:p>
      <w:pPr>
        <w:pStyle w:val="Heading2"/>
        <w:bidi w:val="0"/>
        <w:jc w:val="left"/>
        <w:rPr/>
      </w:pPr>
      <w:r>
        <w:rPr/>
        <w:t>7. Roles and Responsibilities</w:t>
      </w:r>
    </w:p>
    <w:tbl>
      <w:tblPr>
        <w:tblW w:w="11339" w:type="dxa"/>
        <w:jc w:val="left"/>
        <w:tblInd w:w="28" w:type="dxa"/>
        <w:tblLayout w:type="fixed"/>
        <w:tblCellMar>
          <w:top w:w="28" w:type="dxa"/>
          <w:left w:w="28" w:type="dxa"/>
          <w:bottom w:w="28" w:type="dxa"/>
          <w:right w:w="28" w:type="dxa"/>
        </w:tblCellMar>
      </w:tblPr>
      <w:tblGrid>
        <w:gridCol w:w="4249"/>
        <w:gridCol w:w="7090"/>
      </w:tblGrid>
      <w:tr>
        <w:trPr/>
        <w:tc>
          <w:tcPr>
            <w:tcW w:w="4249" w:type="dxa"/>
            <w:tcBorders/>
            <w:vAlign w:val="center"/>
          </w:tcPr>
          <w:p>
            <w:pPr>
              <w:pStyle w:val="TableHeading"/>
              <w:suppressLineNumbers/>
              <w:shd w:fill="1F3864" w:val="clear"/>
              <w:bidi w:val="0"/>
              <w:spacing w:before="0" w:after="283"/>
              <w:jc w:val="left"/>
              <w:rPr/>
            </w:pPr>
            <w:r>
              <w:rPr/>
              <w:t>Role</w:t>
            </w:r>
          </w:p>
        </w:tc>
        <w:tc>
          <w:tcPr>
            <w:tcW w:w="7090" w:type="dxa"/>
            <w:tcBorders/>
            <w:vAlign w:val="center"/>
          </w:tcPr>
          <w:p>
            <w:pPr>
              <w:pStyle w:val="TableHeading"/>
              <w:suppressLineNumbers/>
              <w:shd w:fill="1F3864" w:val="clear"/>
              <w:bidi w:val="0"/>
              <w:spacing w:before="0" w:after="283"/>
              <w:jc w:val="left"/>
              <w:rPr/>
            </w:pPr>
            <w:r>
              <w:rPr/>
              <w:t>Responsibility</w:t>
            </w:r>
          </w:p>
        </w:tc>
      </w:tr>
      <w:tr>
        <w:trPr/>
        <w:tc>
          <w:tcPr>
            <w:tcW w:w="4249" w:type="dxa"/>
            <w:tcBorders/>
            <w:vAlign w:val="center"/>
          </w:tcPr>
          <w:p>
            <w:pPr>
              <w:pStyle w:val="TableContents"/>
              <w:bidi w:val="0"/>
              <w:spacing w:before="0" w:after="283"/>
              <w:jc w:val="left"/>
              <w:rPr/>
            </w:pPr>
            <w:r>
              <w:rPr/>
              <w:t>Developers (per service)</w:t>
            </w:r>
          </w:p>
        </w:tc>
        <w:tc>
          <w:tcPr>
            <w:tcW w:w="7090" w:type="dxa"/>
            <w:tcBorders/>
            <w:vAlign w:val="center"/>
          </w:tcPr>
          <w:p>
            <w:pPr>
              <w:pStyle w:val="TableContents"/>
              <w:bidi w:val="0"/>
              <w:spacing w:before="0" w:after="283"/>
              <w:jc w:val="left"/>
              <w:rPr/>
            </w:pPr>
            <w:r>
              <w:rPr/>
              <w:t>Write and maintain unit and integration tests for their service as part of Definition of Done</w:t>
            </w:r>
          </w:p>
        </w:tc>
      </w:tr>
      <w:tr>
        <w:trPr/>
        <w:tc>
          <w:tcPr>
            <w:tcW w:w="4249" w:type="dxa"/>
            <w:tcBorders/>
            <w:vAlign w:val="center"/>
          </w:tcPr>
          <w:p>
            <w:pPr>
              <w:pStyle w:val="TableContents"/>
              <w:bidi w:val="0"/>
              <w:spacing w:before="0" w:after="283"/>
              <w:jc w:val="left"/>
              <w:rPr/>
            </w:pPr>
            <w:r>
              <w:rPr/>
              <w:t>QA/Test Engineer</w:t>
            </w:r>
          </w:p>
        </w:tc>
        <w:tc>
          <w:tcPr>
            <w:tcW w:w="7090" w:type="dxa"/>
            <w:tcBorders/>
            <w:vAlign w:val="center"/>
          </w:tcPr>
          <w:p>
            <w:pPr>
              <w:pStyle w:val="TableContents"/>
              <w:bidi w:val="0"/>
              <w:spacing w:before="0" w:after="283"/>
              <w:jc w:val="left"/>
              <w:rPr/>
            </w:pPr>
            <w:r>
              <w:rPr/>
              <w:t>Own contract testing, system testing, and the test case suite in Section 8; coordinate UAT logistics</w:t>
            </w:r>
          </w:p>
        </w:tc>
      </w:tr>
      <w:tr>
        <w:trPr/>
        <w:tc>
          <w:tcPr>
            <w:tcW w:w="4249" w:type="dxa"/>
            <w:tcBorders/>
            <w:vAlign w:val="center"/>
          </w:tcPr>
          <w:p>
            <w:pPr>
              <w:pStyle w:val="TableContents"/>
              <w:bidi w:val="0"/>
              <w:spacing w:before="0" w:after="283"/>
              <w:jc w:val="left"/>
              <w:rPr/>
            </w:pPr>
            <w:r>
              <w:rPr/>
              <w:t>Security reviewer</w:t>
            </w:r>
          </w:p>
        </w:tc>
        <w:tc>
          <w:tcPr>
            <w:tcW w:w="7090" w:type="dxa"/>
            <w:tcBorders/>
            <w:vAlign w:val="center"/>
          </w:tcPr>
          <w:p>
            <w:pPr>
              <w:pStyle w:val="TableContents"/>
              <w:bidi w:val="0"/>
              <w:spacing w:before="0" w:after="283"/>
              <w:jc w:val="left"/>
              <w:rPr/>
            </w:pPr>
            <w:r>
              <w:rPr/>
              <w:t>Independent security testing (Section 3.5); should not be the developer of the component tested</w:t>
            </w:r>
          </w:p>
        </w:tc>
      </w:tr>
      <w:tr>
        <w:trPr/>
        <w:tc>
          <w:tcPr>
            <w:tcW w:w="4249" w:type="dxa"/>
            <w:tcBorders/>
            <w:vAlign w:val="center"/>
          </w:tcPr>
          <w:p>
            <w:pPr>
              <w:pStyle w:val="TableContents"/>
              <w:bidi w:val="0"/>
              <w:spacing w:before="0" w:after="283"/>
              <w:jc w:val="left"/>
              <w:rPr/>
            </w:pPr>
            <w:r>
              <w:rPr/>
              <w:t>IT Administrator</w:t>
            </w:r>
          </w:p>
        </w:tc>
        <w:tc>
          <w:tcPr>
            <w:tcW w:w="7090" w:type="dxa"/>
            <w:tcBorders/>
            <w:vAlign w:val="center"/>
          </w:tcPr>
          <w:p>
            <w:pPr>
              <w:pStyle w:val="TableContents"/>
              <w:bidi w:val="0"/>
              <w:spacing w:before="0" w:after="283"/>
              <w:jc w:val="left"/>
              <w:rPr/>
            </w:pPr>
            <w:r>
              <w:rPr/>
              <w:t>Maintain staging environment; support alpha testing; assist UAT participants</w:t>
            </w:r>
          </w:p>
        </w:tc>
      </w:tr>
      <w:tr>
        <w:trPr/>
        <w:tc>
          <w:tcPr>
            <w:tcW w:w="4249" w:type="dxa"/>
            <w:tcBorders/>
            <w:vAlign w:val="center"/>
          </w:tcPr>
          <w:p>
            <w:pPr>
              <w:pStyle w:val="TableContents"/>
              <w:bidi w:val="0"/>
              <w:spacing w:before="0" w:after="283"/>
              <w:jc w:val="left"/>
              <w:rPr/>
            </w:pPr>
            <w:r>
              <w:rPr/>
              <w:t>Process owners (05_Business Process Document, Section 10)</w:t>
            </w:r>
          </w:p>
        </w:tc>
        <w:tc>
          <w:tcPr>
            <w:tcW w:w="7090" w:type="dxa"/>
            <w:tcBorders/>
            <w:vAlign w:val="center"/>
          </w:tcPr>
          <w:p>
            <w:pPr>
              <w:pStyle w:val="TableContents"/>
              <w:bidi w:val="0"/>
              <w:spacing w:before="0" w:after="283"/>
              <w:jc w:val="left"/>
              <w:rPr/>
            </w:pPr>
            <w:r>
              <w:rPr/>
              <w:t>Execute and sign off UAT scenarios for their module</w:t>
            </w:r>
          </w:p>
        </w:tc>
      </w:tr>
      <w:tr>
        <w:trPr/>
        <w:tc>
          <w:tcPr>
            <w:tcW w:w="4249" w:type="dxa"/>
            <w:tcBorders/>
            <w:vAlign w:val="center"/>
          </w:tcPr>
          <w:p>
            <w:pPr>
              <w:pStyle w:val="TableContents"/>
              <w:bidi w:val="0"/>
              <w:spacing w:before="0" w:after="283"/>
              <w:jc w:val="left"/>
              <w:rPr/>
            </w:pPr>
            <w:r>
              <w:rPr/>
              <w:t>Director / Project Coordinator</w:t>
            </w:r>
          </w:p>
        </w:tc>
        <w:tc>
          <w:tcPr>
            <w:tcW w:w="7090" w:type="dxa"/>
            <w:tcBorders/>
            <w:vAlign w:val="center"/>
          </w:tcPr>
          <w:p>
            <w:pPr>
              <w:pStyle w:val="TableContents"/>
              <w:bidi w:val="0"/>
              <w:spacing w:before="0" w:after="283"/>
              <w:jc w:val="left"/>
              <w:rPr/>
            </w:pPr>
            <w:r>
              <w:rPr/>
              <w:t>Track testing progress against Section 6's schedule; escalate blocking defects to the Board where relevant</w:t>
            </w:r>
          </w:p>
        </w:tc>
      </w:tr>
    </w:tbl>
    <w:p>
      <w:pPr>
        <w:pStyle w:val="Heading2"/>
        <w:bidi w:val="0"/>
        <w:jc w:val="left"/>
        <w:rPr/>
      </w:pPr>
      <w:r>
        <w:rPr/>
        <w:t>8. Test Cases (Phase 1)</w:t>
      </w:r>
    </w:p>
    <w:p>
      <w:pPr>
        <w:pStyle w:val="BodyText"/>
        <w:bidi w:val="0"/>
        <w:jc w:val="left"/>
        <w:rPr/>
      </w:pPr>
      <w:r>
        <w:rPr/>
        <w:t xml:space="preserve">Each case traces to an SRS Acceptance Criterion. Cases marked </w:t>
      </w:r>
      <w:r>
        <w:rPr>
          <w:b/>
        </w:rPr>
        <w:t>[async]</w:t>
      </w:r>
      <w:r>
        <w:rPr/>
        <w:t xml:space="preserve"> depend on Kafka event propagation and must be verified with a polling/timeout approach (Section 3.4), not an immediate assertion.</w:t>
      </w:r>
    </w:p>
    <w:tbl>
      <w:tblPr>
        <w:tblW w:w="11339" w:type="dxa"/>
        <w:jc w:val="left"/>
        <w:tblInd w:w="28" w:type="dxa"/>
        <w:tblLayout w:type="fixed"/>
        <w:tblCellMar>
          <w:top w:w="28" w:type="dxa"/>
          <w:left w:w="28" w:type="dxa"/>
          <w:bottom w:w="28" w:type="dxa"/>
          <w:right w:w="28" w:type="dxa"/>
        </w:tblCellMar>
      </w:tblPr>
      <w:tblGrid>
        <w:gridCol w:w="510"/>
        <w:gridCol w:w="4377"/>
        <w:gridCol w:w="3829"/>
        <w:gridCol w:w="2623"/>
      </w:tblGrid>
      <w:tr>
        <w:trPr/>
        <w:tc>
          <w:tcPr>
            <w:tcW w:w="510" w:type="dxa"/>
            <w:tcBorders/>
            <w:vAlign w:val="center"/>
          </w:tcPr>
          <w:p>
            <w:pPr>
              <w:pStyle w:val="TableHeading"/>
              <w:suppressLineNumbers/>
              <w:shd w:fill="1F3864" w:val="clear"/>
              <w:bidi w:val="0"/>
              <w:spacing w:before="0" w:after="283"/>
              <w:jc w:val="left"/>
              <w:rPr/>
            </w:pPr>
            <w:r>
              <w:rPr/>
              <w:t>ID</w:t>
            </w:r>
          </w:p>
        </w:tc>
        <w:tc>
          <w:tcPr>
            <w:tcW w:w="4377" w:type="dxa"/>
            <w:tcBorders/>
            <w:vAlign w:val="center"/>
          </w:tcPr>
          <w:p>
            <w:pPr>
              <w:pStyle w:val="TableHeading"/>
              <w:suppressLineNumbers/>
              <w:shd w:fill="1F3864" w:val="clear"/>
              <w:bidi w:val="0"/>
              <w:spacing w:before="0" w:after="283"/>
              <w:jc w:val="left"/>
              <w:rPr/>
            </w:pPr>
            <w:r>
              <w:rPr/>
              <w:t>Test</w:t>
            </w:r>
          </w:p>
        </w:tc>
        <w:tc>
          <w:tcPr>
            <w:tcW w:w="3829" w:type="dxa"/>
            <w:tcBorders/>
            <w:vAlign w:val="center"/>
          </w:tcPr>
          <w:p>
            <w:pPr>
              <w:pStyle w:val="TableHeading"/>
              <w:suppressLineNumbers/>
              <w:shd w:fill="1F3864" w:val="clear"/>
              <w:bidi w:val="0"/>
              <w:spacing w:before="0" w:after="283"/>
              <w:jc w:val="left"/>
              <w:rPr/>
            </w:pPr>
            <w:r>
              <w:rPr/>
              <w:t>Expected Result</w:t>
            </w:r>
          </w:p>
        </w:tc>
        <w:tc>
          <w:tcPr>
            <w:tcW w:w="2623" w:type="dxa"/>
            <w:tcBorders/>
            <w:vAlign w:val="center"/>
          </w:tcPr>
          <w:p>
            <w:pPr>
              <w:pStyle w:val="TableHeading"/>
              <w:suppressLineNumbers/>
              <w:shd w:fill="1F3864" w:val="clear"/>
              <w:bidi w:val="0"/>
              <w:spacing w:before="0" w:after="283"/>
              <w:jc w:val="left"/>
              <w:rPr/>
            </w:pPr>
            <w:r>
              <w:rPr/>
              <w:t>Traces To</w:t>
            </w:r>
          </w:p>
        </w:tc>
      </w:tr>
      <w:tr>
        <w:trPr/>
        <w:tc>
          <w:tcPr>
            <w:tcW w:w="510" w:type="dxa"/>
            <w:tcBorders/>
            <w:vAlign w:val="center"/>
          </w:tcPr>
          <w:p>
            <w:pPr>
              <w:pStyle w:val="TableContents"/>
              <w:bidi w:val="0"/>
              <w:spacing w:before="0" w:after="283"/>
              <w:jc w:val="left"/>
              <w:rPr/>
            </w:pPr>
            <w:r>
              <w:rPr/>
              <w:t>TC-001</w:t>
            </w:r>
          </w:p>
        </w:tc>
        <w:tc>
          <w:tcPr>
            <w:tcW w:w="4377" w:type="dxa"/>
            <w:tcBorders/>
            <w:vAlign w:val="center"/>
          </w:tcPr>
          <w:p>
            <w:pPr>
              <w:pStyle w:val="TableContents"/>
              <w:bidi w:val="0"/>
              <w:spacing w:before="0" w:after="283"/>
              <w:jc w:val="left"/>
              <w:rPr/>
            </w:pPr>
            <w:r>
              <w:rPr/>
              <w:t>Login with valid credentials</w:t>
            </w:r>
          </w:p>
        </w:tc>
        <w:tc>
          <w:tcPr>
            <w:tcW w:w="3829" w:type="dxa"/>
            <w:tcBorders/>
            <w:vAlign w:val="center"/>
          </w:tcPr>
          <w:p>
            <w:pPr>
              <w:pStyle w:val="TableContents"/>
              <w:bidi w:val="0"/>
              <w:spacing w:before="0" w:after="283"/>
              <w:jc w:val="left"/>
              <w:rPr/>
            </w:pPr>
            <w:r>
              <w:rPr/>
              <w:t>Access + refresh tokens issued; user reaches dashboard</w:t>
            </w:r>
          </w:p>
        </w:tc>
        <w:tc>
          <w:tcPr>
            <w:tcW w:w="2623" w:type="dxa"/>
            <w:tcBorders/>
            <w:vAlign w:val="center"/>
          </w:tcPr>
          <w:p>
            <w:pPr>
              <w:pStyle w:val="TableContents"/>
              <w:bidi w:val="0"/>
              <w:spacing w:before="0" w:after="283"/>
              <w:jc w:val="left"/>
              <w:rPr/>
            </w:pPr>
            <w:r>
              <w:rPr/>
              <w:t>AC-01</w:t>
            </w:r>
          </w:p>
        </w:tc>
      </w:tr>
      <w:tr>
        <w:trPr/>
        <w:tc>
          <w:tcPr>
            <w:tcW w:w="510" w:type="dxa"/>
            <w:tcBorders/>
            <w:vAlign w:val="center"/>
          </w:tcPr>
          <w:p>
            <w:pPr>
              <w:pStyle w:val="TableContents"/>
              <w:bidi w:val="0"/>
              <w:spacing w:before="0" w:after="283"/>
              <w:jc w:val="left"/>
              <w:rPr/>
            </w:pPr>
            <w:r>
              <w:rPr/>
              <w:t>TC-002</w:t>
            </w:r>
          </w:p>
        </w:tc>
        <w:tc>
          <w:tcPr>
            <w:tcW w:w="4377" w:type="dxa"/>
            <w:tcBorders/>
            <w:vAlign w:val="center"/>
          </w:tcPr>
          <w:p>
            <w:pPr>
              <w:pStyle w:val="TableContents"/>
              <w:bidi w:val="0"/>
              <w:spacing w:before="0" w:after="283"/>
              <w:jc w:val="left"/>
              <w:rPr/>
            </w:pPr>
            <w:r>
              <w:rPr/>
              <w:t>Login with incorrect password</w:t>
            </w:r>
          </w:p>
        </w:tc>
        <w:tc>
          <w:tcPr>
            <w:tcW w:w="3829" w:type="dxa"/>
            <w:tcBorders/>
            <w:vAlign w:val="center"/>
          </w:tcPr>
          <w:p>
            <w:pPr>
              <w:pStyle w:val="TableContents"/>
              <w:bidi w:val="0"/>
              <w:spacing w:before="0" w:after="283"/>
              <w:jc w:val="left"/>
              <w:rPr/>
            </w:pPr>
            <w:r>
              <w:rPr/>
              <w:t>401 UNAUTHORIZED; access denied</w:t>
            </w:r>
          </w:p>
        </w:tc>
        <w:tc>
          <w:tcPr>
            <w:tcW w:w="2623" w:type="dxa"/>
            <w:tcBorders/>
            <w:vAlign w:val="center"/>
          </w:tcPr>
          <w:p>
            <w:pPr>
              <w:pStyle w:val="TableContents"/>
              <w:bidi w:val="0"/>
              <w:spacing w:before="0" w:after="283"/>
              <w:jc w:val="left"/>
              <w:rPr/>
            </w:pPr>
            <w:r>
              <w:rPr/>
              <w:t>AC-01</w:t>
            </w:r>
          </w:p>
        </w:tc>
      </w:tr>
      <w:tr>
        <w:trPr/>
        <w:tc>
          <w:tcPr>
            <w:tcW w:w="510" w:type="dxa"/>
            <w:tcBorders/>
            <w:vAlign w:val="center"/>
          </w:tcPr>
          <w:p>
            <w:pPr>
              <w:pStyle w:val="TableContents"/>
              <w:bidi w:val="0"/>
              <w:spacing w:before="0" w:after="283"/>
              <w:jc w:val="left"/>
              <w:rPr/>
            </w:pPr>
            <w:r>
              <w:rPr/>
              <w:t>TC-003</w:t>
            </w:r>
          </w:p>
        </w:tc>
        <w:tc>
          <w:tcPr>
            <w:tcW w:w="4377" w:type="dxa"/>
            <w:tcBorders/>
            <w:vAlign w:val="center"/>
          </w:tcPr>
          <w:p>
            <w:pPr>
              <w:pStyle w:val="TableContents"/>
              <w:bidi w:val="0"/>
              <w:spacing w:before="0" w:after="283"/>
              <w:jc w:val="left"/>
              <w:rPr/>
            </w:pPr>
            <w:r>
              <w:rPr/>
              <w:t>Logout, then reuse the old access token</w:t>
            </w:r>
          </w:p>
        </w:tc>
        <w:tc>
          <w:tcPr>
            <w:tcW w:w="3829" w:type="dxa"/>
            <w:tcBorders/>
            <w:vAlign w:val="center"/>
          </w:tcPr>
          <w:p>
            <w:pPr>
              <w:pStyle w:val="TableContents"/>
              <w:bidi w:val="0"/>
              <w:spacing w:before="0" w:after="283"/>
              <w:jc w:val="left"/>
              <w:rPr/>
            </w:pPr>
            <w:r>
              <w:rPr/>
              <w:t>Request rejected after logout</w:t>
            </w:r>
          </w:p>
        </w:tc>
        <w:tc>
          <w:tcPr>
            <w:tcW w:w="2623" w:type="dxa"/>
            <w:tcBorders/>
            <w:vAlign w:val="center"/>
          </w:tcPr>
          <w:p>
            <w:pPr>
              <w:pStyle w:val="TableContents"/>
              <w:bidi w:val="0"/>
              <w:spacing w:before="0" w:after="283"/>
              <w:jc w:val="left"/>
              <w:rPr/>
            </w:pPr>
            <w:r>
              <w:rPr/>
              <w:t>FR-AUTH-02</w:t>
            </w:r>
          </w:p>
        </w:tc>
      </w:tr>
      <w:tr>
        <w:trPr/>
        <w:tc>
          <w:tcPr>
            <w:tcW w:w="510" w:type="dxa"/>
            <w:tcBorders/>
            <w:vAlign w:val="center"/>
          </w:tcPr>
          <w:p>
            <w:pPr>
              <w:pStyle w:val="TableContents"/>
              <w:bidi w:val="0"/>
              <w:spacing w:before="0" w:after="283"/>
              <w:jc w:val="left"/>
              <w:rPr/>
            </w:pPr>
            <w:r>
              <w:rPr/>
              <w:t>TC-004</w:t>
            </w:r>
          </w:p>
        </w:tc>
        <w:tc>
          <w:tcPr>
            <w:tcW w:w="4377" w:type="dxa"/>
            <w:tcBorders/>
            <w:vAlign w:val="center"/>
          </w:tcPr>
          <w:p>
            <w:pPr>
              <w:pStyle w:val="TableContents"/>
              <w:bidi w:val="0"/>
              <w:spacing w:before="0" w:after="283"/>
              <w:jc w:val="left"/>
              <w:rPr/>
            </w:pPr>
            <w:r>
              <w:rPr/>
              <w:t>Create the holding company</w:t>
            </w:r>
          </w:p>
        </w:tc>
        <w:tc>
          <w:tcPr>
            <w:tcW w:w="3829" w:type="dxa"/>
            <w:tcBorders/>
            <w:vAlign w:val="center"/>
          </w:tcPr>
          <w:p>
            <w:pPr>
              <w:pStyle w:val="TableContents"/>
              <w:bidi w:val="0"/>
              <w:spacing w:before="0" w:after="283"/>
              <w:jc w:val="left"/>
              <w:rPr/>
            </w:pPr>
            <w:r>
              <w:rPr/>
              <w:t>Company saved successfully</w:t>
            </w:r>
          </w:p>
        </w:tc>
        <w:tc>
          <w:tcPr>
            <w:tcW w:w="2623" w:type="dxa"/>
            <w:tcBorders/>
            <w:vAlign w:val="center"/>
          </w:tcPr>
          <w:p>
            <w:pPr>
              <w:pStyle w:val="TableContents"/>
              <w:bidi w:val="0"/>
              <w:spacing w:before="0" w:after="283"/>
              <w:jc w:val="left"/>
              <w:rPr/>
            </w:pPr>
            <w:r>
              <w:rPr/>
              <w:t>AC-02</w:t>
            </w:r>
          </w:p>
        </w:tc>
      </w:tr>
      <w:tr>
        <w:trPr/>
        <w:tc>
          <w:tcPr>
            <w:tcW w:w="510" w:type="dxa"/>
            <w:tcBorders/>
            <w:vAlign w:val="center"/>
          </w:tcPr>
          <w:p>
            <w:pPr>
              <w:pStyle w:val="TableContents"/>
              <w:bidi w:val="0"/>
              <w:spacing w:before="0" w:after="283"/>
              <w:jc w:val="left"/>
              <w:rPr/>
            </w:pPr>
            <w:r>
              <w:rPr/>
              <w:t>TC-005</w:t>
            </w:r>
          </w:p>
        </w:tc>
        <w:tc>
          <w:tcPr>
            <w:tcW w:w="4377" w:type="dxa"/>
            <w:tcBorders/>
            <w:vAlign w:val="center"/>
          </w:tcPr>
          <w:p>
            <w:pPr>
              <w:pStyle w:val="TableContents"/>
              <w:bidi w:val="0"/>
              <w:spacing w:before="0" w:after="283"/>
              <w:jc w:val="left"/>
              <w:rPr/>
            </w:pPr>
            <w:r>
              <w:rPr/>
              <w:t>Create a subsidiary with a valid parent company</w:t>
            </w:r>
          </w:p>
        </w:tc>
        <w:tc>
          <w:tcPr>
            <w:tcW w:w="3829" w:type="dxa"/>
            <w:tcBorders/>
            <w:vAlign w:val="center"/>
          </w:tcPr>
          <w:p>
            <w:pPr>
              <w:pStyle w:val="TableContents"/>
              <w:bidi w:val="0"/>
              <w:spacing w:before="0" w:after="283"/>
              <w:jc w:val="left"/>
              <w:rPr/>
            </w:pPr>
            <w:r>
              <w:rPr/>
              <w:t>Subsidiary saved; hierarchy displays correctly</w:t>
            </w:r>
          </w:p>
        </w:tc>
        <w:tc>
          <w:tcPr>
            <w:tcW w:w="2623" w:type="dxa"/>
            <w:tcBorders/>
            <w:vAlign w:val="center"/>
          </w:tcPr>
          <w:p>
            <w:pPr>
              <w:pStyle w:val="TableContents"/>
              <w:bidi w:val="0"/>
              <w:spacing w:before="0" w:after="283"/>
              <w:jc w:val="left"/>
              <w:rPr/>
            </w:pPr>
            <w:r>
              <w:rPr/>
              <w:t>AC-02</w:t>
            </w:r>
          </w:p>
        </w:tc>
      </w:tr>
      <w:tr>
        <w:trPr/>
        <w:tc>
          <w:tcPr>
            <w:tcW w:w="510" w:type="dxa"/>
            <w:tcBorders/>
            <w:vAlign w:val="center"/>
          </w:tcPr>
          <w:p>
            <w:pPr>
              <w:pStyle w:val="TableContents"/>
              <w:bidi w:val="0"/>
              <w:spacing w:before="0" w:after="283"/>
              <w:jc w:val="left"/>
              <w:rPr/>
            </w:pPr>
            <w:r>
              <w:rPr/>
              <w:t>TC-006</w:t>
            </w:r>
          </w:p>
        </w:tc>
        <w:tc>
          <w:tcPr>
            <w:tcW w:w="4377" w:type="dxa"/>
            <w:tcBorders/>
            <w:vAlign w:val="center"/>
          </w:tcPr>
          <w:p>
            <w:pPr>
              <w:pStyle w:val="TableContents"/>
              <w:bidi w:val="0"/>
              <w:spacing w:before="0" w:after="283"/>
              <w:jc w:val="left"/>
              <w:rPr/>
            </w:pPr>
            <w:r>
              <w:rPr/>
              <w:t>Attempt to create a subsidiary with no parent</w:t>
            </w:r>
          </w:p>
        </w:tc>
        <w:tc>
          <w:tcPr>
            <w:tcW w:w="3829" w:type="dxa"/>
            <w:tcBorders/>
            <w:vAlign w:val="center"/>
          </w:tcPr>
          <w:p>
            <w:pPr>
              <w:pStyle w:val="TableContents"/>
              <w:bidi w:val="0"/>
              <w:spacing w:before="0" w:after="283"/>
              <w:jc w:val="left"/>
              <w:rPr/>
            </w:pPr>
            <w:r>
              <w:rPr/>
              <w:t>Rejected (BR-02)</w:t>
            </w:r>
          </w:p>
        </w:tc>
        <w:tc>
          <w:tcPr>
            <w:tcW w:w="2623" w:type="dxa"/>
            <w:tcBorders/>
            <w:vAlign w:val="center"/>
          </w:tcPr>
          <w:p>
            <w:pPr>
              <w:pStyle w:val="TableContents"/>
              <w:bidi w:val="0"/>
              <w:spacing w:before="0" w:after="283"/>
              <w:jc w:val="left"/>
              <w:rPr/>
            </w:pPr>
            <w:r>
              <w:rPr/>
              <w:t>AC-02, BR-02</w:t>
            </w:r>
          </w:p>
        </w:tc>
      </w:tr>
      <w:tr>
        <w:trPr/>
        <w:tc>
          <w:tcPr>
            <w:tcW w:w="510" w:type="dxa"/>
            <w:tcBorders/>
            <w:vAlign w:val="center"/>
          </w:tcPr>
          <w:p>
            <w:pPr>
              <w:pStyle w:val="TableContents"/>
              <w:bidi w:val="0"/>
              <w:spacing w:before="0" w:after="283"/>
              <w:jc w:val="left"/>
              <w:rPr/>
            </w:pPr>
            <w:r>
              <w:rPr/>
              <w:t>TC-007</w:t>
            </w:r>
          </w:p>
        </w:tc>
        <w:tc>
          <w:tcPr>
            <w:tcW w:w="4377" w:type="dxa"/>
            <w:tcBorders/>
            <w:vAlign w:val="center"/>
          </w:tcPr>
          <w:p>
            <w:pPr>
              <w:pStyle w:val="TableContents"/>
              <w:bidi w:val="0"/>
              <w:spacing w:before="0" w:after="283"/>
              <w:jc w:val="left"/>
              <w:rPr/>
            </w:pPr>
            <w:r>
              <w:rPr/>
              <w:t>Create a user and assign a role</w:t>
            </w:r>
          </w:p>
        </w:tc>
        <w:tc>
          <w:tcPr>
            <w:tcW w:w="3829" w:type="dxa"/>
            <w:tcBorders/>
            <w:vAlign w:val="center"/>
          </w:tcPr>
          <w:p>
            <w:pPr>
              <w:pStyle w:val="TableContents"/>
              <w:bidi w:val="0"/>
              <w:spacing w:before="0" w:after="283"/>
              <w:jc w:val="left"/>
              <w:rPr/>
            </w:pPr>
            <w:r>
              <w:rPr/>
              <w:t>User's access matches exactly what the role permits</w:t>
            </w:r>
          </w:p>
        </w:tc>
        <w:tc>
          <w:tcPr>
            <w:tcW w:w="2623" w:type="dxa"/>
            <w:tcBorders/>
            <w:vAlign w:val="center"/>
          </w:tcPr>
          <w:p>
            <w:pPr>
              <w:pStyle w:val="TableContents"/>
              <w:bidi w:val="0"/>
              <w:spacing w:before="0" w:after="283"/>
              <w:jc w:val="left"/>
              <w:rPr/>
            </w:pPr>
            <w:r>
              <w:rPr/>
              <w:t>AC-03</w:t>
            </w:r>
          </w:p>
        </w:tc>
      </w:tr>
      <w:tr>
        <w:trPr/>
        <w:tc>
          <w:tcPr>
            <w:tcW w:w="510" w:type="dxa"/>
            <w:tcBorders/>
            <w:vAlign w:val="center"/>
          </w:tcPr>
          <w:p>
            <w:pPr>
              <w:pStyle w:val="TableContents"/>
              <w:bidi w:val="0"/>
              <w:spacing w:before="0" w:after="283"/>
              <w:jc w:val="left"/>
              <w:rPr/>
            </w:pPr>
            <w:r>
              <w:rPr/>
              <w:t>TC-008</w:t>
            </w:r>
          </w:p>
        </w:tc>
        <w:tc>
          <w:tcPr>
            <w:tcW w:w="4377" w:type="dxa"/>
            <w:tcBorders/>
            <w:vAlign w:val="center"/>
          </w:tcPr>
          <w:p>
            <w:pPr>
              <w:pStyle w:val="TableContents"/>
              <w:bidi w:val="0"/>
              <w:spacing w:before="0" w:after="283"/>
              <w:jc w:val="left"/>
              <w:rPr/>
            </w:pPr>
            <w:r>
              <w:rPr/>
              <w:t>Attempt to assign a nonexistent role</w:t>
            </w:r>
          </w:p>
        </w:tc>
        <w:tc>
          <w:tcPr>
            <w:tcW w:w="3829" w:type="dxa"/>
            <w:tcBorders/>
            <w:vAlign w:val="center"/>
          </w:tcPr>
          <w:p>
            <w:pPr>
              <w:pStyle w:val="TableContents"/>
              <w:bidi w:val="0"/>
              <w:spacing w:before="0" w:after="283"/>
              <w:jc w:val="left"/>
              <w:rPr/>
            </w:pPr>
            <w:r>
              <w:rPr/>
              <w:t>400 VALIDATION_ERROR</w:t>
            </w:r>
          </w:p>
        </w:tc>
        <w:tc>
          <w:tcPr>
            <w:tcW w:w="2623" w:type="dxa"/>
            <w:tcBorders/>
            <w:vAlign w:val="center"/>
          </w:tcPr>
          <w:p>
            <w:pPr>
              <w:pStyle w:val="TableContents"/>
              <w:bidi w:val="0"/>
              <w:spacing w:before="0" w:after="283"/>
              <w:jc w:val="left"/>
              <w:rPr/>
            </w:pPr>
            <w:r>
              <w:rPr/>
              <w:t>AC-03</w:t>
            </w:r>
          </w:p>
        </w:tc>
      </w:tr>
      <w:tr>
        <w:trPr/>
        <w:tc>
          <w:tcPr>
            <w:tcW w:w="510" w:type="dxa"/>
            <w:tcBorders/>
            <w:vAlign w:val="center"/>
          </w:tcPr>
          <w:p>
            <w:pPr>
              <w:pStyle w:val="TableContents"/>
              <w:bidi w:val="0"/>
              <w:spacing w:before="0" w:after="283"/>
              <w:jc w:val="left"/>
              <w:rPr/>
            </w:pPr>
            <w:r>
              <w:rPr/>
              <w:t>TC-009</w:t>
            </w:r>
          </w:p>
        </w:tc>
        <w:tc>
          <w:tcPr>
            <w:tcW w:w="4377" w:type="dxa"/>
            <w:tcBorders/>
            <w:vAlign w:val="center"/>
          </w:tcPr>
          <w:p>
            <w:pPr>
              <w:pStyle w:val="TableContents"/>
              <w:bidi w:val="0"/>
              <w:spacing w:before="0" w:after="283"/>
              <w:jc w:val="left"/>
              <w:rPr/>
            </w:pPr>
            <w:r>
              <w:rPr/>
              <w:t>User without required permission accesses a restricted report</w:t>
            </w:r>
          </w:p>
        </w:tc>
        <w:tc>
          <w:tcPr>
            <w:tcW w:w="3829" w:type="dxa"/>
            <w:tcBorders/>
            <w:vAlign w:val="center"/>
          </w:tcPr>
          <w:p>
            <w:pPr>
              <w:pStyle w:val="TableContents"/>
              <w:bidi w:val="0"/>
              <w:spacing w:before="0" w:after="283"/>
              <w:jc w:val="left"/>
              <w:rPr/>
            </w:pPr>
            <w:r>
              <w:rPr/>
              <w:t xml:space="preserve">403 FORBIDDEN; access_denied event published </w:t>
            </w:r>
            <w:r>
              <w:rPr>
                <w:b/>
              </w:rPr>
              <w:t>[async]</w:t>
            </w:r>
            <w:r>
              <w:rPr/>
              <w:t xml:space="preserve"> and appears in audit log</w:t>
            </w:r>
          </w:p>
        </w:tc>
        <w:tc>
          <w:tcPr>
            <w:tcW w:w="2623" w:type="dxa"/>
            <w:tcBorders/>
            <w:vAlign w:val="center"/>
          </w:tcPr>
          <w:p>
            <w:pPr>
              <w:pStyle w:val="TableContents"/>
              <w:bidi w:val="0"/>
              <w:spacing w:before="0" w:after="283"/>
              <w:jc w:val="left"/>
              <w:rPr/>
            </w:pPr>
            <w:r>
              <w:rPr/>
              <w:t>AC-04</w:t>
            </w:r>
          </w:p>
        </w:tc>
      </w:tr>
      <w:tr>
        <w:trPr/>
        <w:tc>
          <w:tcPr>
            <w:tcW w:w="510" w:type="dxa"/>
            <w:tcBorders/>
            <w:vAlign w:val="center"/>
          </w:tcPr>
          <w:p>
            <w:pPr>
              <w:pStyle w:val="TableContents"/>
              <w:bidi w:val="0"/>
              <w:spacing w:before="0" w:after="283"/>
              <w:jc w:val="left"/>
              <w:rPr/>
            </w:pPr>
            <w:r>
              <w:rPr/>
              <w:t>TC-010</w:t>
            </w:r>
          </w:p>
        </w:tc>
        <w:tc>
          <w:tcPr>
            <w:tcW w:w="4377" w:type="dxa"/>
            <w:tcBorders/>
            <w:vAlign w:val="center"/>
          </w:tcPr>
          <w:p>
            <w:pPr>
              <w:pStyle w:val="TableContents"/>
              <w:bidi w:val="0"/>
              <w:spacing w:before="0" w:after="283"/>
              <w:jc w:val="left"/>
              <w:rPr/>
            </w:pPr>
            <w:r>
              <w:rPr/>
              <w:t>User scoped to Company A attempts to access Company B's data</w:t>
            </w:r>
          </w:p>
        </w:tc>
        <w:tc>
          <w:tcPr>
            <w:tcW w:w="3829" w:type="dxa"/>
            <w:tcBorders/>
            <w:vAlign w:val="center"/>
          </w:tcPr>
          <w:p>
            <w:pPr>
              <w:pStyle w:val="TableContents"/>
              <w:bidi w:val="0"/>
              <w:spacing w:before="0" w:after="283"/>
              <w:jc w:val="left"/>
              <w:rPr/>
            </w:pPr>
            <w:r>
              <w:rPr/>
              <w:t>403 FORBIDDEN or 404 NOT_FOUND (BR-01); logged</w:t>
            </w:r>
          </w:p>
        </w:tc>
        <w:tc>
          <w:tcPr>
            <w:tcW w:w="2623" w:type="dxa"/>
            <w:tcBorders/>
            <w:vAlign w:val="center"/>
          </w:tcPr>
          <w:p>
            <w:pPr>
              <w:pStyle w:val="TableContents"/>
              <w:bidi w:val="0"/>
              <w:spacing w:before="0" w:after="283"/>
              <w:jc w:val="left"/>
              <w:rPr/>
            </w:pPr>
            <w:r>
              <w:rPr/>
              <w:t>AC-04, BR-01</w:t>
            </w:r>
          </w:p>
        </w:tc>
      </w:tr>
      <w:tr>
        <w:trPr/>
        <w:tc>
          <w:tcPr>
            <w:tcW w:w="510" w:type="dxa"/>
            <w:tcBorders/>
            <w:vAlign w:val="center"/>
          </w:tcPr>
          <w:p>
            <w:pPr>
              <w:pStyle w:val="TableContents"/>
              <w:bidi w:val="0"/>
              <w:spacing w:before="0" w:after="283"/>
              <w:jc w:val="left"/>
              <w:rPr/>
            </w:pPr>
            <w:r>
              <w:rPr/>
              <w:t>TC-011</w:t>
            </w:r>
          </w:p>
        </w:tc>
        <w:tc>
          <w:tcPr>
            <w:tcW w:w="4377" w:type="dxa"/>
            <w:tcBorders/>
            <w:vAlign w:val="center"/>
          </w:tcPr>
          <w:p>
            <w:pPr>
              <w:pStyle w:val="TableContents"/>
              <w:bidi w:val="0"/>
              <w:spacing w:before="0" w:after="283"/>
              <w:jc w:val="left"/>
              <w:rPr/>
            </w:pPr>
            <w:r>
              <w:rPr/>
              <w:t>Create an employee with all required fields</w:t>
            </w:r>
          </w:p>
        </w:tc>
        <w:tc>
          <w:tcPr>
            <w:tcW w:w="3829" w:type="dxa"/>
            <w:tcBorders/>
            <w:vAlign w:val="center"/>
          </w:tcPr>
          <w:p>
            <w:pPr>
              <w:pStyle w:val="TableContents"/>
              <w:bidi w:val="0"/>
              <w:spacing w:before="0" w:after="283"/>
              <w:jc w:val="left"/>
              <w:rPr/>
            </w:pPr>
            <w:r>
              <w:rPr/>
              <w:t>Employee saved and retrievable</w:t>
            </w:r>
          </w:p>
        </w:tc>
        <w:tc>
          <w:tcPr>
            <w:tcW w:w="2623" w:type="dxa"/>
            <w:tcBorders/>
            <w:vAlign w:val="center"/>
          </w:tcPr>
          <w:p>
            <w:pPr>
              <w:pStyle w:val="TableContents"/>
              <w:bidi w:val="0"/>
              <w:spacing w:before="0" w:after="283"/>
              <w:jc w:val="left"/>
              <w:rPr/>
            </w:pPr>
            <w:r>
              <w:rPr/>
              <w:t>AC-05</w:t>
            </w:r>
          </w:p>
        </w:tc>
      </w:tr>
      <w:tr>
        <w:trPr/>
        <w:tc>
          <w:tcPr>
            <w:tcW w:w="510" w:type="dxa"/>
            <w:tcBorders/>
            <w:vAlign w:val="center"/>
          </w:tcPr>
          <w:p>
            <w:pPr>
              <w:pStyle w:val="TableContents"/>
              <w:bidi w:val="0"/>
              <w:spacing w:before="0" w:after="283"/>
              <w:jc w:val="left"/>
              <w:rPr/>
            </w:pPr>
            <w:r>
              <w:rPr/>
              <w:t>TC-012</w:t>
            </w:r>
          </w:p>
        </w:tc>
        <w:tc>
          <w:tcPr>
            <w:tcW w:w="4377" w:type="dxa"/>
            <w:tcBorders/>
            <w:vAlign w:val="center"/>
          </w:tcPr>
          <w:p>
            <w:pPr>
              <w:pStyle w:val="TableContents"/>
              <w:bidi w:val="0"/>
              <w:spacing w:before="0" w:after="283"/>
              <w:jc w:val="left"/>
              <w:rPr/>
            </w:pPr>
            <w:r>
              <w:rPr/>
              <w:t>Create an employee missing a required field</w:t>
            </w:r>
          </w:p>
        </w:tc>
        <w:tc>
          <w:tcPr>
            <w:tcW w:w="3829" w:type="dxa"/>
            <w:tcBorders/>
            <w:vAlign w:val="center"/>
          </w:tcPr>
          <w:p>
            <w:pPr>
              <w:pStyle w:val="TableContents"/>
              <w:bidi w:val="0"/>
              <w:spacing w:before="0" w:after="283"/>
              <w:jc w:val="left"/>
              <w:rPr/>
            </w:pPr>
            <w:r>
              <w:rPr/>
              <w:t>400 VALIDATION_ERROR</w:t>
            </w:r>
          </w:p>
        </w:tc>
        <w:tc>
          <w:tcPr>
            <w:tcW w:w="2623" w:type="dxa"/>
            <w:tcBorders/>
            <w:vAlign w:val="center"/>
          </w:tcPr>
          <w:p>
            <w:pPr>
              <w:pStyle w:val="TableContents"/>
              <w:bidi w:val="0"/>
              <w:spacing w:before="0" w:after="283"/>
              <w:jc w:val="left"/>
              <w:rPr/>
            </w:pPr>
            <w:r>
              <w:rPr/>
              <w:t>AC-05</w:t>
            </w:r>
          </w:p>
        </w:tc>
      </w:tr>
      <w:tr>
        <w:trPr/>
        <w:tc>
          <w:tcPr>
            <w:tcW w:w="510" w:type="dxa"/>
            <w:tcBorders/>
            <w:vAlign w:val="center"/>
          </w:tcPr>
          <w:p>
            <w:pPr>
              <w:pStyle w:val="TableContents"/>
              <w:bidi w:val="0"/>
              <w:spacing w:before="0" w:after="283"/>
              <w:jc w:val="left"/>
              <w:rPr/>
            </w:pPr>
            <w:r>
              <w:rPr/>
              <w:t>TC-013</w:t>
            </w:r>
          </w:p>
        </w:tc>
        <w:tc>
          <w:tcPr>
            <w:tcW w:w="4377" w:type="dxa"/>
            <w:tcBorders/>
            <w:vAlign w:val="center"/>
          </w:tcPr>
          <w:p>
            <w:pPr>
              <w:pStyle w:val="TableContents"/>
              <w:bidi w:val="0"/>
              <w:spacing w:before="0" w:after="283"/>
              <w:jc w:val="left"/>
              <w:rPr/>
            </w:pPr>
            <w:r>
              <w:rPr/>
              <w:t>Create a customer</w:t>
            </w:r>
          </w:p>
        </w:tc>
        <w:tc>
          <w:tcPr>
            <w:tcW w:w="3829" w:type="dxa"/>
            <w:tcBorders/>
            <w:vAlign w:val="center"/>
          </w:tcPr>
          <w:p>
            <w:pPr>
              <w:pStyle w:val="TableContents"/>
              <w:bidi w:val="0"/>
              <w:spacing w:before="0" w:after="283"/>
              <w:jc w:val="left"/>
              <w:rPr/>
            </w:pPr>
            <w:r>
              <w:rPr/>
              <w:t>Customer saved and retrievable</w:t>
            </w:r>
          </w:p>
        </w:tc>
        <w:tc>
          <w:tcPr>
            <w:tcW w:w="2623" w:type="dxa"/>
            <w:tcBorders/>
            <w:vAlign w:val="center"/>
          </w:tcPr>
          <w:p>
            <w:pPr>
              <w:pStyle w:val="TableContents"/>
              <w:bidi w:val="0"/>
              <w:spacing w:before="0" w:after="283"/>
              <w:jc w:val="left"/>
              <w:rPr/>
            </w:pPr>
            <w:r>
              <w:rPr/>
              <w:t>AC-06</w:t>
            </w:r>
          </w:p>
        </w:tc>
      </w:tr>
      <w:tr>
        <w:trPr/>
        <w:tc>
          <w:tcPr>
            <w:tcW w:w="510" w:type="dxa"/>
            <w:tcBorders/>
            <w:vAlign w:val="center"/>
          </w:tcPr>
          <w:p>
            <w:pPr>
              <w:pStyle w:val="TableContents"/>
              <w:bidi w:val="0"/>
              <w:spacing w:before="0" w:after="283"/>
              <w:jc w:val="left"/>
              <w:rPr/>
            </w:pPr>
            <w:r>
              <w:rPr/>
              <w:t>TC-014</w:t>
            </w:r>
          </w:p>
        </w:tc>
        <w:tc>
          <w:tcPr>
            <w:tcW w:w="4377" w:type="dxa"/>
            <w:tcBorders/>
            <w:vAlign w:val="center"/>
          </w:tcPr>
          <w:p>
            <w:pPr>
              <w:pStyle w:val="TableContents"/>
              <w:bidi w:val="0"/>
              <w:spacing w:before="0" w:after="283"/>
              <w:jc w:val="left"/>
              <w:rPr/>
            </w:pPr>
            <w:r>
              <w:rPr/>
              <w:t>Create a supplier</w:t>
            </w:r>
          </w:p>
        </w:tc>
        <w:tc>
          <w:tcPr>
            <w:tcW w:w="3829" w:type="dxa"/>
            <w:tcBorders/>
            <w:vAlign w:val="center"/>
          </w:tcPr>
          <w:p>
            <w:pPr>
              <w:pStyle w:val="TableContents"/>
              <w:bidi w:val="0"/>
              <w:spacing w:before="0" w:after="283"/>
              <w:jc w:val="left"/>
              <w:rPr/>
            </w:pPr>
            <w:r>
              <w:rPr/>
              <w:t>Supplier saved and retrievable</w:t>
            </w:r>
          </w:p>
        </w:tc>
        <w:tc>
          <w:tcPr>
            <w:tcW w:w="2623" w:type="dxa"/>
            <w:tcBorders/>
            <w:vAlign w:val="center"/>
          </w:tcPr>
          <w:p>
            <w:pPr>
              <w:pStyle w:val="TableContents"/>
              <w:bidi w:val="0"/>
              <w:spacing w:before="0" w:after="283"/>
              <w:jc w:val="left"/>
              <w:rPr/>
            </w:pPr>
            <w:r>
              <w:rPr/>
              <w:t>AC-06</w:t>
            </w:r>
          </w:p>
        </w:tc>
      </w:tr>
      <w:tr>
        <w:trPr/>
        <w:tc>
          <w:tcPr>
            <w:tcW w:w="510" w:type="dxa"/>
            <w:tcBorders/>
            <w:vAlign w:val="center"/>
          </w:tcPr>
          <w:p>
            <w:pPr>
              <w:pStyle w:val="TableContents"/>
              <w:bidi w:val="0"/>
              <w:spacing w:before="0" w:after="283"/>
              <w:jc w:val="left"/>
              <w:rPr/>
            </w:pPr>
            <w:r>
              <w:rPr/>
              <w:t>TC-015</w:t>
            </w:r>
          </w:p>
        </w:tc>
        <w:tc>
          <w:tcPr>
            <w:tcW w:w="4377" w:type="dxa"/>
            <w:tcBorders/>
            <w:vAlign w:val="center"/>
          </w:tcPr>
          <w:p>
            <w:pPr>
              <w:pStyle w:val="TableContents"/>
              <w:bidi w:val="0"/>
              <w:spacing w:before="0" w:after="283"/>
              <w:jc w:val="left"/>
              <w:rPr/>
            </w:pPr>
            <w:r>
              <w:rPr/>
              <w:t>Edit a customer's credit limit and payment terms</w:t>
            </w:r>
          </w:p>
        </w:tc>
        <w:tc>
          <w:tcPr>
            <w:tcW w:w="3829" w:type="dxa"/>
            <w:tcBorders/>
            <w:vAlign w:val="center"/>
          </w:tcPr>
          <w:p>
            <w:pPr>
              <w:pStyle w:val="TableContents"/>
              <w:bidi w:val="0"/>
              <w:spacing w:before="0" w:after="283"/>
              <w:jc w:val="left"/>
              <w:rPr/>
            </w:pPr>
            <w:r>
              <w:rPr/>
              <w:t>Updated values persist and display correctly</w:t>
            </w:r>
          </w:p>
        </w:tc>
        <w:tc>
          <w:tcPr>
            <w:tcW w:w="2623" w:type="dxa"/>
            <w:tcBorders/>
            <w:vAlign w:val="center"/>
          </w:tcPr>
          <w:p>
            <w:pPr>
              <w:pStyle w:val="TableContents"/>
              <w:bidi w:val="0"/>
              <w:spacing w:before="0" w:after="283"/>
              <w:jc w:val="left"/>
              <w:rPr/>
            </w:pPr>
            <w:r>
              <w:rPr/>
              <w:t>FR-CUST-02</w:t>
            </w:r>
          </w:p>
        </w:tc>
      </w:tr>
      <w:tr>
        <w:trPr/>
        <w:tc>
          <w:tcPr>
            <w:tcW w:w="510" w:type="dxa"/>
            <w:tcBorders/>
            <w:vAlign w:val="center"/>
          </w:tcPr>
          <w:p>
            <w:pPr>
              <w:pStyle w:val="TableContents"/>
              <w:bidi w:val="0"/>
              <w:spacing w:before="0" w:after="283"/>
              <w:jc w:val="left"/>
              <w:rPr/>
            </w:pPr>
            <w:r>
              <w:rPr/>
              <w:t>TC-016</w:t>
            </w:r>
          </w:p>
        </w:tc>
        <w:tc>
          <w:tcPr>
            <w:tcW w:w="4377" w:type="dxa"/>
            <w:tcBorders/>
            <w:vAlign w:val="center"/>
          </w:tcPr>
          <w:p>
            <w:pPr>
              <w:pStyle w:val="TableContents"/>
              <w:bidi w:val="0"/>
              <w:spacing w:before="0" w:after="283"/>
              <w:jc w:val="left"/>
              <w:rPr/>
            </w:pPr>
            <w:r>
              <w:rPr/>
              <w:t>Create a product with code, category and unit of measure</w:t>
            </w:r>
          </w:p>
        </w:tc>
        <w:tc>
          <w:tcPr>
            <w:tcW w:w="3829" w:type="dxa"/>
            <w:tcBorders/>
            <w:vAlign w:val="center"/>
          </w:tcPr>
          <w:p>
            <w:pPr>
              <w:pStyle w:val="TableContents"/>
              <w:bidi w:val="0"/>
              <w:spacing w:before="0" w:after="283"/>
              <w:jc w:val="left"/>
              <w:rPr/>
            </w:pPr>
            <w:r>
              <w:rPr/>
              <w:t>Product saved successfully</w:t>
            </w:r>
          </w:p>
        </w:tc>
        <w:tc>
          <w:tcPr>
            <w:tcW w:w="2623" w:type="dxa"/>
            <w:tcBorders/>
            <w:vAlign w:val="center"/>
          </w:tcPr>
          <w:p>
            <w:pPr>
              <w:pStyle w:val="TableContents"/>
              <w:bidi w:val="0"/>
              <w:spacing w:before="0" w:after="283"/>
              <w:jc w:val="left"/>
              <w:rPr/>
            </w:pPr>
            <w:r>
              <w:rPr/>
              <w:t>AC-07</w:t>
            </w:r>
          </w:p>
        </w:tc>
      </w:tr>
      <w:tr>
        <w:trPr/>
        <w:tc>
          <w:tcPr>
            <w:tcW w:w="510" w:type="dxa"/>
            <w:tcBorders/>
            <w:vAlign w:val="center"/>
          </w:tcPr>
          <w:p>
            <w:pPr>
              <w:pStyle w:val="TableContents"/>
              <w:bidi w:val="0"/>
              <w:spacing w:before="0" w:after="283"/>
              <w:jc w:val="left"/>
              <w:rPr/>
            </w:pPr>
            <w:r>
              <w:rPr/>
              <w:t>TC-017</w:t>
            </w:r>
          </w:p>
        </w:tc>
        <w:tc>
          <w:tcPr>
            <w:tcW w:w="4377" w:type="dxa"/>
            <w:tcBorders/>
            <w:vAlign w:val="center"/>
          </w:tcPr>
          <w:p>
            <w:pPr>
              <w:pStyle w:val="TableContents"/>
              <w:bidi w:val="0"/>
              <w:spacing w:before="0" w:after="283"/>
              <w:jc w:val="left"/>
              <w:rPr/>
            </w:pPr>
            <w:r>
              <w:rPr/>
              <w:t>Create a second product with a duplicate code in the same company</w:t>
            </w:r>
          </w:p>
        </w:tc>
        <w:tc>
          <w:tcPr>
            <w:tcW w:w="3829" w:type="dxa"/>
            <w:tcBorders/>
            <w:vAlign w:val="center"/>
          </w:tcPr>
          <w:p>
            <w:pPr>
              <w:pStyle w:val="TableContents"/>
              <w:bidi w:val="0"/>
              <w:spacing w:before="0" w:after="283"/>
              <w:jc w:val="left"/>
              <w:rPr/>
            </w:pPr>
            <w:r>
              <w:rPr/>
              <w:t>409 CONFLICT</w:t>
            </w:r>
          </w:p>
        </w:tc>
        <w:tc>
          <w:tcPr>
            <w:tcW w:w="2623" w:type="dxa"/>
            <w:tcBorders/>
            <w:vAlign w:val="center"/>
          </w:tcPr>
          <w:p>
            <w:pPr>
              <w:pStyle w:val="TableContents"/>
              <w:bidi w:val="0"/>
              <w:spacing w:before="0" w:after="283"/>
              <w:jc w:val="left"/>
              <w:rPr/>
            </w:pPr>
            <w:r>
              <w:rPr/>
              <w:t>FR-PROD-01</w:t>
            </w:r>
          </w:p>
        </w:tc>
      </w:tr>
      <w:tr>
        <w:trPr/>
        <w:tc>
          <w:tcPr>
            <w:tcW w:w="510" w:type="dxa"/>
            <w:tcBorders/>
            <w:vAlign w:val="center"/>
          </w:tcPr>
          <w:p>
            <w:pPr>
              <w:pStyle w:val="TableContents"/>
              <w:bidi w:val="0"/>
              <w:spacing w:before="0" w:after="283"/>
              <w:jc w:val="left"/>
              <w:rPr/>
            </w:pPr>
            <w:r>
              <w:rPr/>
              <w:t>TC-018</w:t>
            </w:r>
          </w:p>
        </w:tc>
        <w:tc>
          <w:tcPr>
            <w:tcW w:w="4377" w:type="dxa"/>
            <w:tcBorders/>
            <w:vAlign w:val="center"/>
          </w:tcPr>
          <w:p>
            <w:pPr>
              <w:pStyle w:val="TableContents"/>
              <w:bidi w:val="0"/>
              <w:spacing w:before="0" w:after="283"/>
              <w:jc w:val="left"/>
              <w:rPr/>
            </w:pPr>
            <w:r>
              <w:rPr/>
              <w:t>Post a balanced journal entry</w:t>
            </w:r>
          </w:p>
        </w:tc>
        <w:tc>
          <w:tcPr>
            <w:tcW w:w="3829" w:type="dxa"/>
            <w:tcBorders/>
            <w:vAlign w:val="center"/>
          </w:tcPr>
          <w:p>
            <w:pPr>
              <w:pStyle w:val="TableContents"/>
              <w:bidi w:val="0"/>
              <w:spacing w:before="0" w:after="283"/>
              <w:jc w:val="left"/>
              <w:rPr/>
            </w:pPr>
            <w:r>
              <w:rPr/>
              <w:t>Entry posted; general ledger updated; accounting.journal_entry.posted event published</w:t>
            </w:r>
          </w:p>
        </w:tc>
        <w:tc>
          <w:tcPr>
            <w:tcW w:w="2623" w:type="dxa"/>
            <w:tcBorders/>
            <w:vAlign w:val="center"/>
          </w:tcPr>
          <w:p>
            <w:pPr>
              <w:pStyle w:val="TableContents"/>
              <w:bidi w:val="0"/>
              <w:spacing w:before="0" w:after="283"/>
              <w:jc w:val="left"/>
              <w:rPr/>
            </w:pPr>
            <w:r>
              <w:rPr/>
              <w:t>AC-08</w:t>
            </w:r>
          </w:p>
        </w:tc>
      </w:tr>
      <w:tr>
        <w:trPr/>
        <w:tc>
          <w:tcPr>
            <w:tcW w:w="510" w:type="dxa"/>
            <w:tcBorders/>
            <w:vAlign w:val="center"/>
          </w:tcPr>
          <w:p>
            <w:pPr>
              <w:pStyle w:val="TableContents"/>
              <w:bidi w:val="0"/>
              <w:spacing w:before="0" w:after="283"/>
              <w:jc w:val="left"/>
              <w:rPr/>
            </w:pPr>
            <w:r>
              <w:rPr/>
              <w:t>TC-019</w:t>
            </w:r>
          </w:p>
        </w:tc>
        <w:tc>
          <w:tcPr>
            <w:tcW w:w="4377" w:type="dxa"/>
            <w:tcBorders/>
            <w:vAlign w:val="center"/>
          </w:tcPr>
          <w:p>
            <w:pPr>
              <w:pStyle w:val="TableContents"/>
              <w:bidi w:val="0"/>
              <w:spacing w:before="0" w:after="283"/>
              <w:jc w:val="left"/>
              <w:rPr/>
            </w:pPr>
            <w:r>
              <w:rPr/>
              <w:t>Attempt to post an unbalanced journal entry</w:t>
            </w:r>
          </w:p>
        </w:tc>
        <w:tc>
          <w:tcPr>
            <w:tcW w:w="3829" w:type="dxa"/>
            <w:tcBorders/>
            <w:vAlign w:val="center"/>
          </w:tcPr>
          <w:p>
            <w:pPr>
              <w:pStyle w:val="TableContents"/>
              <w:bidi w:val="0"/>
              <w:spacing w:before="0" w:after="283"/>
              <w:jc w:val="left"/>
              <w:rPr/>
            </w:pPr>
            <w:r>
              <w:rPr/>
              <w:t>422 UNBALANCED_ENTRY; entry remains in draft</w:t>
            </w:r>
          </w:p>
        </w:tc>
        <w:tc>
          <w:tcPr>
            <w:tcW w:w="2623" w:type="dxa"/>
            <w:tcBorders/>
            <w:vAlign w:val="center"/>
          </w:tcPr>
          <w:p>
            <w:pPr>
              <w:pStyle w:val="TableContents"/>
              <w:bidi w:val="0"/>
              <w:spacing w:before="0" w:after="283"/>
              <w:jc w:val="left"/>
              <w:rPr/>
            </w:pPr>
            <w:r>
              <w:rPr/>
              <w:t>AC-08, BR-03</w:t>
            </w:r>
          </w:p>
        </w:tc>
      </w:tr>
      <w:tr>
        <w:trPr/>
        <w:tc>
          <w:tcPr>
            <w:tcW w:w="510" w:type="dxa"/>
            <w:tcBorders/>
            <w:vAlign w:val="center"/>
          </w:tcPr>
          <w:p>
            <w:pPr>
              <w:pStyle w:val="TableContents"/>
              <w:bidi w:val="0"/>
              <w:spacing w:before="0" w:after="283"/>
              <w:jc w:val="left"/>
              <w:rPr/>
            </w:pPr>
            <w:r>
              <w:rPr/>
              <w:t>TC-020</w:t>
            </w:r>
          </w:p>
        </w:tc>
        <w:tc>
          <w:tcPr>
            <w:tcW w:w="4377" w:type="dxa"/>
            <w:tcBorders/>
            <w:vAlign w:val="center"/>
          </w:tcPr>
          <w:p>
            <w:pPr>
              <w:pStyle w:val="TableContents"/>
              <w:bidi w:val="0"/>
              <w:spacing w:before="0" w:after="283"/>
              <w:jc w:val="left"/>
              <w:rPr/>
            </w:pPr>
            <w:r>
              <w:rPr/>
              <w:t>Attempt to post a journal entry into a closed financial period</w:t>
            </w:r>
          </w:p>
        </w:tc>
        <w:tc>
          <w:tcPr>
            <w:tcW w:w="3829" w:type="dxa"/>
            <w:tcBorders/>
            <w:vAlign w:val="center"/>
          </w:tcPr>
          <w:p>
            <w:pPr>
              <w:pStyle w:val="TableContents"/>
              <w:bidi w:val="0"/>
              <w:spacing w:before="0" w:after="283"/>
              <w:jc w:val="left"/>
              <w:rPr/>
            </w:pPr>
            <w:r>
              <w:rPr/>
              <w:t>422 PERIOD_CLOSED</w:t>
            </w:r>
          </w:p>
        </w:tc>
        <w:tc>
          <w:tcPr>
            <w:tcW w:w="2623" w:type="dxa"/>
            <w:tcBorders/>
            <w:vAlign w:val="center"/>
          </w:tcPr>
          <w:p>
            <w:pPr>
              <w:pStyle w:val="TableContents"/>
              <w:bidi w:val="0"/>
              <w:spacing w:before="0" w:after="283"/>
              <w:jc w:val="left"/>
              <w:rPr/>
            </w:pPr>
            <w:r>
              <w:rPr/>
              <w:t>BR-04</w:t>
            </w:r>
          </w:p>
        </w:tc>
      </w:tr>
      <w:tr>
        <w:trPr/>
        <w:tc>
          <w:tcPr>
            <w:tcW w:w="510" w:type="dxa"/>
            <w:tcBorders/>
            <w:vAlign w:val="center"/>
          </w:tcPr>
          <w:p>
            <w:pPr>
              <w:pStyle w:val="TableContents"/>
              <w:bidi w:val="0"/>
              <w:spacing w:before="0" w:after="283"/>
              <w:jc w:val="left"/>
              <w:rPr/>
            </w:pPr>
            <w:r>
              <w:rPr/>
              <w:t>TC-021</w:t>
            </w:r>
          </w:p>
        </w:tc>
        <w:tc>
          <w:tcPr>
            <w:tcW w:w="4377" w:type="dxa"/>
            <w:tcBorders/>
            <w:vAlign w:val="center"/>
          </w:tcPr>
          <w:p>
            <w:pPr>
              <w:pStyle w:val="TableContents"/>
              <w:bidi w:val="0"/>
              <w:spacing w:before="0" w:after="283"/>
              <w:jc w:val="left"/>
              <w:rPr/>
            </w:pPr>
            <w:r>
              <w:rPr/>
              <w:t>Generate a trial balance for a company/period with posted entries</w:t>
            </w:r>
          </w:p>
        </w:tc>
        <w:tc>
          <w:tcPr>
            <w:tcW w:w="3829" w:type="dxa"/>
            <w:tcBorders/>
            <w:vAlign w:val="center"/>
          </w:tcPr>
          <w:p>
            <w:pPr>
              <w:pStyle w:val="TableContents"/>
              <w:bidi w:val="0"/>
              <w:spacing w:before="0" w:after="283"/>
              <w:jc w:val="left"/>
              <w:rPr/>
            </w:pPr>
            <w:r>
              <w:rPr/>
              <w:t>Total debits equal total credits</w:t>
            </w:r>
          </w:p>
        </w:tc>
        <w:tc>
          <w:tcPr>
            <w:tcW w:w="2623" w:type="dxa"/>
            <w:tcBorders/>
            <w:vAlign w:val="center"/>
          </w:tcPr>
          <w:p>
            <w:pPr>
              <w:pStyle w:val="TableContents"/>
              <w:bidi w:val="0"/>
              <w:spacing w:before="0" w:after="283"/>
              <w:jc w:val="left"/>
              <w:rPr/>
            </w:pPr>
            <w:r>
              <w:rPr/>
              <w:t>AC-09</w:t>
            </w:r>
          </w:p>
        </w:tc>
      </w:tr>
      <w:tr>
        <w:trPr/>
        <w:tc>
          <w:tcPr>
            <w:tcW w:w="510" w:type="dxa"/>
            <w:tcBorders/>
            <w:vAlign w:val="center"/>
          </w:tcPr>
          <w:p>
            <w:pPr>
              <w:pStyle w:val="TableContents"/>
              <w:bidi w:val="0"/>
              <w:spacing w:before="0" w:after="283"/>
              <w:jc w:val="left"/>
              <w:rPr/>
            </w:pPr>
            <w:r>
              <w:rPr/>
              <w:t>TC-022</w:t>
            </w:r>
          </w:p>
        </w:tc>
        <w:tc>
          <w:tcPr>
            <w:tcW w:w="4377" w:type="dxa"/>
            <w:tcBorders/>
            <w:vAlign w:val="center"/>
          </w:tcPr>
          <w:p>
            <w:pPr>
              <w:pStyle w:val="TableContents"/>
              <w:bidi w:val="0"/>
              <w:spacing w:before="0" w:after="283"/>
              <w:jc w:val="left"/>
              <w:rPr/>
            </w:pPr>
            <w:r>
              <w:rPr/>
              <w:t>Generate a trial balance for a company/period with no transactions</w:t>
            </w:r>
          </w:p>
        </w:tc>
        <w:tc>
          <w:tcPr>
            <w:tcW w:w="3829" w:type="dxa"/>
            <w:tcBorders/>
            <w:vAlign w:val="center"/>
          </w:tcPr>
          <w:p>
            <w:pPr>
              <w:pStyle w:val="TableContents"/>
              <w:bidi w:val="0"/>
              <w:spacing w:before="0" w:after="283"/>
              <w:jc w:val="left"/>
              <w:rPr/>
            </w:pPr>
            <w:r>
              <w:rPr/>
              <w:t>Report returns zero balances, no error</w:t>
            </w:r>
          </w:p>
        </w:tc>
        <w:tc>
          <w:tcPr>
            <w:tcW w:w="2623" w:type="dxa"/>
            <w:tcBorders/>
            <w:vAlign w:val="center"/>
          </w:tcPr>
          <w:p>
            <w:pPr>
              <w:pStyle w:val="TableContents"/>
              <w:bidi w:val="0"/>
              <w:spacing w:before="0" w:after="283"/>
              <w:jc w:val="left"/>
              <w:rPr/>
            </w:pPr>
            <w:r>
              <w:rPr/>
              <w:t>FR-ACC-04</w:t>
            </w:r>
          </w:p>
        </w:tc>
      </w:tr>
      <w:tr>
        <w:trPr/>
        <w:tc>
          <w:tcPr>
            <w:tcW w:w="510" w:type="dxa"/>
            <w:tcBorders/>
            <w:vAlign w:val="center"/>
          </w:tcPr>
          <w:p>
            <w:pPr>
              <w:pStyle w:val="TableContents"/>
              <w:bidi w:val="0"/>
              <w:spacing w:before="0" w:after="283"/>
              <w:jc w:val="left"/>
              <w:rPr/>
            </w:pPr>
            <w:r>
              <w:rPr/>
              <w:t>TC-023</w:t>
            </w:r>
          </w:p>
        </w:tc>
        <w:tc>
          <w:tcPr>
            <w:tcW w:w="4377" w:type="dxa"/>
            <w:tcBorders/>
            <w:vAlign w:val="center"/>
          </w:tcPr>
          <w:p>
            <w:pPr>
              <w:pStyle w:val="TableContents"/>
              <w:bidi w:val="0"/>
              <w:spacing w:before="0" w:after="283"/>
              <w:jc w:val="left"/>
              <w:rPr/>
            </w:pPr>
            <w:r>
              <w:rPr/>
              <w:t>Perform one create/edit/delete action in each of the 8 services</w:t>
            </w:r>
          </w:p>
        </w:tc>
        <w:tc>
          <w:tcPr>
            <w:tcW w:w="3829" w:type="dxa"/>
            <w:tcBorders/>
            <w:vAlign w:val="center"/>
          </w:tcPr>
          <w:p>
            <w:pPr>
              <w:pStyle w:val="TableContents"/>
              <w:bidi w:val="0"/>
              <w:spacing w:before="0" w:after="283"/>
              <w:jc w:val="left"/>
              <w:rPr/>
            </w:pPr>
            <w:r>
              <w:rPr/>
              <w:t xml:space="preserve">Each action appears in the audit trail with correct user, timestamp and before/after values </w:t>
            </w:r>
            <w:r>
              <w:rPr>
                <w:b/>
              </w:rPr>
              <w:t>[async]</w:t>
            </w:r>
          </w:p>
        </w:tc>
        <w:tc>
          <w:tcPr>
            <w:tcW w:w="2623" w:type="dxa"/>
            <w:tcBorders/>
            <w:vAlign w:val="center"/>
          </w:tcPr>
          <w:p>
            <w:pPr>
              <w:pStyle w:val="TableContents"/>
              <w:bidi w:val="0"/>
              <w:spacing w:before="0" w:after="283"/>
              <w:jc w:val="left"/>
              <w:rPr/>
            </w:pPr>
            <w:r>
              <w:rPr/>
              <w:t>AC-10</w:t>
            </w:r>
          </w:p>
        </w:tc>
      </w:tr>
      <w:tr>
        <w:trPr/>
        <w:tc>
          <w:tcPr>
            <w:tcW w:w="510" w:type="dxa"/>
            <w:tcBorders/>
            <w:vAlign w:val="center"/>
          </w:tcPr>
          <w:p>
            <w:pPr>
              <w:pStyle w:val="TableContents"/>
              <w:bidi w:val="0"/>
              <w:spacing w:before="0" w:after="283"/>
              <w:jc w:val="left"/>
              <w:rPr/>
            </w:pPr>
            <w:r>
              <w:rPr/>
              <w:t>TC-024</w:t>
            </w:r>
          </w:p>
        </w:tc>
        <w:tc>
          <w:tcPr>
            <w:tcW w:w="4377" w:type="dxa"/>
            <w:tcBorders/>
            <w:vAlign w:val="center"/>
          </w:tcPr>
          <w:p>
            <w:pPr>
              <w:pStyle w:val="TableContents"/>
              <w:bidi w:val="0"/>
              <w:spacing w:before="0" w:after="283"/>
              <w:jc w:val="left"/>
              <w:rPr/>
            </w:pPr>
            <w:r>
              <w:rPr/>
              <w:t>Attempt to directly modify or delete an audit log row (bypassing the API, e.g. via direct DB access with the application's service credentials)</w:t>
            </w:r>
          </w:p>
        </w:tc>
        <w:tc>
          <w:tcPr>
            <w:tcW w:w="3829" w:type="dxa"/>
            <w:tcBorders/>
            <w:vAlign w:val="center"/>
          </w:tcPr>
          <w:p>
            <w:pPr>
              <w:pStyle w:val="TableContents"/>
              <w:bidi w:val="0"/>
              <w:spacing w:before="0" w:after="283"/>
              <w:jc w:val="left"/>
              <w:rPr/>
            </w:pPr>
            <w:r>
              <w:rPr/>
              <w:t>Rejected — no UPDATE/DELETE grant exists for the application role (08_Database Design Document, Section 10.1)</w:t>
            </w:r>
          </w:p>
        </w:tc>
        <w:tc>
          <w:tcPr>
            <w:tcW w:w="2623" w:type="dxa"/>
            <w:tcBorders/>
            <w:vAlign w:val="center"/>
          </w:tcPr>
          <w:p>
            <w:pPr>
              <w:pStyle w:val="TableContents"/>
              <w:bidi w:val="0"/>
              <w:spacing w:before="0" w:after="283"/>
              <w:jc w:val="left"/>
              <w:rPr/>
            </w:pPr>
            <w:r>
              <w:rPr/>
              <w:t>AC-10, FR-AUDIT-03</w:t>
            </w:r>
          </w:p>
        </w:tc>
      </w:tr>
      <w:tr>
        <w:trPr/>
        <w:tc>
          <w:tcPr>
            <w:tcW w:w="510" w:type="dxa"/>
            <w:tcBorders/>
            <w:vAlign w:val="center"/>
          </w:tcPr>
          <w:p>
            <w:pPr>
              <w:pStyle w:val="TableContents"/>
              <w:bidi w:val="0"/>
              <w:spacing w:before="0" w:after="283"/>
              <w:jc w:val="left"/>
              <w:rPr/>
            </w:pPr>
            <w:r>
              <w:rPr/>
              <w:t>TC-025</w:t>
            </w:r>
          </w:p>
        </w:tc>
        <w:tc>
          <w:tcPr>
            <w:tcW w:w="4377" w:type="dxa"/>
            <w:tcBorders/>
            <w:vAlign w:val="center"/>
          </w:tcPr>
          <w:p>
            <w:pPr>
              <w:pStyle w:val="TableContents"/>
              <w:bidi w:val="0"/>
              <w:spacing w:before="0" w:after="283"/>
              <w:jc w:val="left"/>
              <w:rPr/>
            </w:pPr>
            <w:r>
              <w:rPr/>
              <w:t>Inspect all Phase 1 endpoints for HTTPS enforcement</w:t>
            </w:r>
          </w:p>
        </w:tc>
        <w:tc>
          <w:tcPr>
            <w:tcW w:w="3829" w:type="dxa"/>
            <w:tcBorders/>
            <w:vAlign w:val="center"/>
          </w:tcPr>
          <w:p>
            <w:pPr>
              <w:pStyle w:val="TableContents"/>
              <w:bidi w:val="0"/>
              <w:spacing w:before="0" w:after="283"/>
              <w:jc w:val="left"/>
              <w:rPr/>
            </w:pPr>
            <w:r>
              <w:rPr/>
              <w:t>Plain HTTP requests are rejected or redirected</w:t>
            </w:r>
          </w:p>
        </w:tc>
        <w:tc>
          <w:tcPr>
            <w:tcW w:w="2623" w:type="dxa"/>
            <w:tcBorders/>
            <w:vAlign w:val="center"/>
          </w:tcPr>
          <w:p>
            <w:pPr>
              <w:pStyle w:val="TableContents"/>
              <w:bidi w:val="0"/>
              <w:spacing w:before="0" w:after="283"/>
              <w:jc w:val="left"/>
              <w:rPr/>
            </w:pPr>
            <w:r>
              <w:rPr/>
              <w:t>AC-11, NFR-08</w:t>
            </w:r>
          </w:p>
        </w:tc>
      </w:tr>
      <w:tr>
        <w:trPr/>
        <w:tc>
          <w:tcPr>
            <w:tcW w:w="510" w:type="dxa"/>
            <w:tcBorders/>
            <w:vAlign w:val="center"/>
          </w:tcPr>
          <w:p>
            <w:pPr>
              <w:pStyle w:val="TableContents"/>
              <w:bidi w:val="0"/>
              <w:spacing w:before="0" w:after="283"/>
              <w:jc w:val="left"/>
              <w:rPr/>
            </w:pPr>
            <w:r>
              <w:rPr/>
              <w:t>TC-026</w:t>
            </w:r>
          </w:p>
        </w:tc>
        <w:tc>
          <w:tcPr>
            <w:tcW w:w="4377" w:type="dxa"/>
            <w:tcBorders/>
            <w:vAlign w:val="center"/>
          </w:tcPr>
          <w:p>
            <w:pPr>
              <w:pStyle w:val="TableContents"/>
              <w:bidi w:val="0"/>
              <w:spacing w:before="0" w:after="283"/>
              <w:jc w:val="left"/>
              <w:rPr/>
            </w:pPr>
            <w:r>
              <w:rPr/>
              <w:t>Inspect the users table for password storage</w:t>
            </w:r>
          </w:p>
        </w:tc>
        <w:tc>
          <w:tcPr>
            <w:tcW w:w="3829" w:type="dxa"/>
            <w:tcBorders/>
            <w:vAlign w:val="center"/>
          </w:tcPr>
          <w:p>
            <w:pPr>
              <w:pStyle w:val="TableContents"/>
              <w:bidi w:val="0"/>
              <w:spacing w:before="0" w:after="283"/>
              <w:jc w:val="left"/>
              <w:rPr/>
            </w:pPr>
            <w:r>
              <w:rPr/>
              <w:t>Only bcrypt/argon2 hashes present, never plaintext</w:t>
            </w:r>
          </w:p>
        </w:tc>
        <w:tc>
          <w:tcPr>
            <w:tcW w:w="2623" w:type="dxa"/>
            <w:tcBorders/>
            <w:vAlign w:val="center"/>
          </w:tcPr>
          <w:p>
            <w:pPr>
              <w:pStyle w:val="TableContents"/>
              <w:bidi w:val="0"/>
              <w:spacing w:before="0" w:after="283"/>
              <w:jc w:val="left"/>
              <w:rPr/>
            </w:pPr>
            <w:r>
              <w:rPr/>
              <w:t>AC-11, NFR-09</w:t>
            </w:r>
          </w:p>
        </w:tc>
      </w:tr>
      <w:tr>
        <w:trPr/>
        <w:tc>
          <w:tcPr>
            <w:tcW w:w="510" w:type="dxa"/>
            <w:tcBorders/>
            <w:vAlign w:val="center"/>
          </w:tcPr>
          <w:p>
            <w:pPr>
              <w:pStyle w:val="TableContents"/>
              <w:bidi w:val="0"/>
              <w:spacing w:before="0" w:after="283"/>
              <w:jc w:val="left"/>
              <w:rPr/>
            </w:pPr>
            <w:r>
              <w:rPr/>
              <w:t>TC-027</w:t>
            </w:r>
          </w:p>
        </w:tc>
        <w:tc>
          <w:tcPr>
            <w:tcW w:w="4377" w:type="dxa"/>
            <w:tcBorders/>
            <w:vAlign w:val="center"/>
          </w:tcPr>
          <w:p>
            <w:pPr>
              <w:pStyle w:val="TableContents"/>
              <w:bidi w:val="0"/>
              <w:spacing w:before="0" w:after="283"/>
              <w:jc w:val="left"/>
              <w:rPr/>
            </w:pPr>
            <w:r>
              <w:rPr/>
              <w:t>Trigger and verify a scheduled backup, then restore it to a test instance</w:t>
            </w:r>
          </w:p>
        </w:tc>
        <w:tc>
          <w:tcPr>
            <w:tcW w:w="3829" w:type="dxa"/>
            <w:tcBorders/>
            <w:vAlign w:val="center"/>
          </w:tcPr>
          <w:p>
            <w:pPr>
              <w:pStyle w:val="TableContents"/>
              <w:bidi w:val="0"/>
              <w:spacing w:before="0" w:after="283"/>
              <w:jc w:val="left"/>
              <w:rPr/>
            </w:pPr>
            <w:r>
              <w:rPr/>
              <w:t>Backup completes; restoration succeeds with data intact</w:t>
            </w:r>
          </w:p>
        </w:tc>
        <w:tc>
          <w:tcPr>
            <w:tcW w:w="2623" w:type="dxa"/>
            <w:tcBorders/>
            <w:vAlign w:val="center"/>
          </w:tcPr>
          <w:p>
            <w:pPr>
              <w:pStyle w:val="TableContents"/>
              <w:bidi w:val="0"/>
              <w:spacing w:before="0" w:after="283"/>
              <w:jc w:val="left"/>
              <w:rPr/>
            </w:pPr>
            <w:r>
              <w:rPr/>
              <w:t>NFR-06, NFR-07</w:t>
            </w:r>
          </w:p>
        </w:tc>
      </w:tr>
      <w:tr>
        <w:trPr/>
        <w:tc>
          <w:tcPr>
            <w:tcW w:w="510" w:type="dxa"/>
            <w:tcBorders/>
            <w:vAlign w:val="center"/>
          </w:tcPr>
          <w:p>
            <w:pPr>
              <w:pStyle w:val="TableContents"/>
              <w:bidi w:val="0"/>
              <w:spacing w:before="0" w:after="283"/>
              <w:jc w:val="left"/>
              <w:rPr/>
            </w:pPr>
            <w:r>
              <w:rPr/>
              <w:t>TC-028</w:t>
            </w:r>
          </w:p>
        </w:tc>
        <w:tc>
          <w:tcPr>
            <w:tcW w:w="4377" w:type="dxa"/>
            <w:tcBorders/>
            <w:vAlign w:val="center"/>
          </w:tcPr>
          <w:p>
            <w:pPr>
              <w:pStyle w:val="TableContents"/>
              <w:bidi w:val="0"/>
              <w:spacing w:before="0" w:after="283"/>
              <w:jc w:val="left"/>
              <w:rPr/>
            </w:pPr>
            <w:r>
              <w:rPr/>
              <w:t>Submit repeated failed login attempts beyond the configured limit</w:t>
            </w:r>
          </w:p>
        </w:tc>
        <w:tc>
          <w:tcPr>
            <w:tcW w:w="3829" w:type="dxa"/>
            <w:tcBorders/>
            <w:vAlign w:val="center"/>
          </w:tcPr>
          <w:p>
            <w:pPr>
              <w:pStyle w:val="TableContents"/>
              <w:bidi w:val="0"/>
              <w:spacing w:before="0" w:after="283"/>
              <w:jc w:val="left"/>
              <w:rPr/>
            </w:pPr>
            <w:r>
              <w:rPr/>
              <w:t>429 RATE_LIMITED; account lockout triggers (FR-AUTH-06)</w:t>
            </w:r>
          </w:p>
        </w:tc>
        <w:tc>
          <w:tcPr>
            <w:tcW w:w="2623" w:type="dxa"/>
            <w:tcBorders/>
            <w:vAlign w:val="center"/>
          </w:tcPr>
          <w:p>
            <w:pPr>
              <w:pStyle w:val="TableContents"/>
              <w:bidi w:val="0"/>
              <w:spacing w:before="0" w:after="283"/>
              <w:jc w:val="left"/>
              <w:rPr/>
            </w:pPr>
            <w:r>
              <w:rPr/>
              <w:t>SEC-05</w:t>
            </w:r>
          </w:p>
        </w:tc>
      </w:tr>
      <w:tr>
        <w:trPr/>
        <w:tc>
          <w:tcPr>
            <w:tcW w:w="510" w:type="dxa"/>
            <w:tcBorders/>
            <w:vAlign w:val="center"/>
          </w:tcPr>
          <w:p>
            <w:pPr>
              <w:pStyle w:val="TableContents"/>
              <w:bidi w:val="0"/>
              <w:spacing w:before="0" w:after="283"/>
              <w:jc w:val="left"/>
              <w:rPr/>
            </w:pPr>
            <w:r>
              <w:rPr/>
              <w:t>TC-029</w:t>
            </w:r>
          </w:p>
        </w:tc>
        <w:tc>
          <w:tcPr>
            <w:tcW w:w="4377" w:type="dxa"/>
            <w:tcBorders/>
            <w:vAlign w:val="center"/>
          </w:tcPr>
          <w:p>
            <w:pPr>
              <w:pStyle w:val="TableContents"/>
              <w:bidi w:val="0"/>
              <w:spacing w:before="0" w:after="283"/>
              <w:jc w:val="left"/>
              <w:rPr/>
            </w:pPr>
            <w:r>
              <w:rPr/>
              <w:t>Submit SQL-injection and XSS payloads in text fields (e.g. employee name, journal entry description)</w:t>
            </w:r>
          </w:p>
        </w:tc>
        <w:tc>
          <w:tcPr>
            <w:tcW w:w="3829" w:type="dxa"/>
            <w:tcBorders/>
            <w:vAlign w:val="center"/>
          </w:tcPr>
          <w:p>
            <w:pPr>
              <w:pStyle w:val="TableContents"/>
              <w:bidi w:val="0"/>
              <w:spacing w:before="0" w:after="283"/>
              <w:jc w:val="left"/>
              <w:rPr/>
            </w:pPr>
            <w:r>
              <w:rPr/>
              <w:t>Input rejected or safely escaped; no injection succeeds</w:t>
            </w:r>
          </w:p>
        </w:tc>
        <w:tc>
          <w:tcPr>
            <w:tcW w:w="2623" w:type="dxa"/>
            <w:tcBorders/>
            <w:vAlign w:val="center"/>
          </w:tcPr>
          <w:p>
            <w:pPr>
              <w:pStyle w:val="TableContents"/>
              <w:bidi w:val="0"/>
              <w:spacing w:before="0" w:after="283"/>
              <w:jc w:val="left"/>
              <w:rPr/>
            </w:pPr>
            <w:r>
              <w:rPr/>
              <w:t>SEC-02</w:t>
            </w:r>
          </w:p>
        </w:tc>
      </w:tr>
      <w:tr>
        <w:trPr/>
        <w:tc>
          <w:tcPr>
            <w:tcW w:w="510" w:type="dxa"/>
            <w:tcBorders/>
            <w:vAlign w:val="center"/>
          </w:tcPr>
          <w:p>
            <w:pPr>
              <w:pStyle w:val="TableContents"/>
              <w:bidi w:val="0"/>
              <w:spacing w:before="0" w:after="283"/>
              <w:jc w:val="left"/>
              <w:rPr/>
            </w:pPr>
            <w:r>
              <w:rPr/>
              <w:t>TC-030</w:t>
            </w:r>
          </w:p>
        </w:tc>
        <w:tc>
          <w:tcPr>
            <w:tcW w:w="4377" w:type="dxa"/>
            <w:tcBorders/>
            <w:vAlign w:val="center"/>
          </w:tcPr>
          <w:p>
            <w:pPr>
              <w:pStyle w:val="TableContents"/>
              <w:bidi w:val="0"/>
              <w:spacing w:before="0" w:after="283"/>
              <w:jc w:val="left"/>
              <w:rPr/>
            </w:pPr>
            <w:r>
              <w:rPr/>
              <w:t>Submit a state-changing request without a valid CSRF token</w:t>
            </w:r>
          </w:p>
        </w:tc>
        <w:tc>
          <w:tcPr>
            <w:tcW w:w="3829" w:type="dxa"/>
            <w:tcBorders/>
            <w:vAlign w:val="center"/>
          </w:tcPr>
          <w:p>
            <w:pPr>
              <w:pStyle w:val="TableContents"/>
              <w:bidi w:val="0"/>
              <w:spacing w:before="0" w:after="283"/>
              <w:jc w:val="left"/>
              <w:rPr/>
            </w:pPr>
            <w:r>
              <w:rPr/>
              <w:t>Request rejected</w:t>
            </w:r>
          </w:p>
        </w:tc>
        <w:tc>
          <w:tcPr>
            <w:tcW w:w="2623" w:type="dxa"/>
            <w:tcBorders/>
            <w:vAlign w:val="center"/>
          </w:tcPr>
          <w:p>
            <w:pPr>
              <w:pStyle w:val="TableContents"/>
              <w:bidi w:val="0"/>
              <w:spacing w:before="0" w:after="283"/>
              <w:jc w:val="left"/>
              <w:rPr/>
            </w:pPr>
            <w:r>
              <w:rPr/>
              <w:t>SEC-03</w:t>
            </w:r>
          </w:p>
        </w:tc>
      </w:tr>
      <w:tr>
        <w:trPr/>
        <w:tc>
          <w:tcPr>
            <w:tcW w:w="510" w:type="dxa"/>
            <w:tcBorders/>
            <w:vAlign w:val="center"/>
          </w:tcPr>
          <w:p>
            <w:pPr>
              <w:pStyle w:val="TableContents"/>
              <w:bidi w:val="0"/>
              <w:spacing w:before="0" w:after="283"/>
              <w:jc w:val="left"/>
              <w:rPr/>
            </w:pPr>
            <w:r>
              <w:rPr/>
              <w:t>TC-031</w:t>
            </w:r>
          </w:p>
        </w:tc>
        <w:tc>
          <w:tcPr>
            <w:tcW w:w="4377" w:type="dxa"/>
            <w:tcBorders/>
            <w:vAlign w:val="center"/>
          </w:tcPr>
          <w:p>
            <w:pPr>
              <w:pStyle w:val="TableContents"/>
              <w:bidi w:val="0"/>
              <w:spacing w:before="0" w:after="283"/>
              <w:jc w:val="left"/>
              <w:rPr/>
            </w:pPr>
            <w:r>
              <w:rPr/>
              <w:t>Employee Service publishes an employee.record.created event</w:t>
            </w:r>
          </w:p>
        </w:tc>
        <w:tc>
          <w:tcPr>
            <w:tcW w:w="3829" w:type="dxa"/>
            <w:tcBorders/>
            <w:vAlign w:val="center"/>
          </w:tcPr>
          <w:p>
            <w:pPr>
              <w:pStyle w:val="TableContents"/>
              <w:bidi w:val="0"/>
              <w:spacing w:before="0" w:after="283"/>
              <w:jc w:val="left"/>
              <w:rPr/>
            </w:pPr>
            <w:r>
              <w:rPr/>
              <w:t xml:space="preserve">Audit &amp; Reporting Service consumes it and the corresponding audit_logs row appears within the agreed latency </w:t>
            </w:r>
            <w:r>
              <w:rPr>
                <w:b/>
              </w:rPr>
              <w:t>[async]</w:t>
            </w:r>
          </w:p>
        </w:tc>
        <w:tc>
          <w:tcPr>
            <w:tcW w:w="2623" w:type="dxa"/>
            <w:tcBorders/>
            <w:vAlign w:val="center"/>
          </w:tcPr>
          <w:p>
            <w:pPr>
              <w:pStyle w:val="TableContents"/>
              <w:bidi w:val="0"/>
              <w:spacing w:before="0" w:after="283"/>
              <w:jc w:val="left"/>
              <w:rPr/>
            </w:pPr>
            <w:r>
              <w:rPr/>
              <w:t>Contract test, 07_System Design Document Section 9</w:t>
            </w:r>
          </w:p>
        </w:tc>
      </w:tr>
      <w:tr>
        <w:trPr/>
        <w:tc>
          <w:tcPr>
            <w:tcW w:w="510" w:type="dxa"/>
            <w:tcBorders/>
            <w:vAlign w:val="center"/>
          </w:tcPr>
          <w:p>
            <w:pPr>
              <w:pStyle w:val="TableContents"/>
              <w:bidi w:val="0"/>
              <w:spacing w:before="0" w:after="283"/>
              <w:jc w:val="left"/>
              <w:rPr/>
            </w:pPr>
            <w:r>
              <w:rPr/>
              <w:t>TC-032</w:t>
            </w:r>
          </w:p>
        </w:tc>
        <w:tc>
          <w:tcPr>
            <w:tcW w:w="4377" w:type="dxa"/>
            <w:tcBorders/>
            <w:vAlign w:val="center"/>
          </w:tcPr>
          <w:p>
            <w:pPr>
              <w:pStyle w:val="TableContents"/>
              <w:bidi w:val="0"/>
              <w:spacing w:before="0" w:after="283"/>
              <w:jc w:val="left"/>
              <w:rPr/>
            </w:pPr>
            <w:r>
              <w:rPr/>
              <w:t>Stop the Audit &amp; Reporting Service's Kafka consumer, perform several actions in other services, then restart it</w:t>
            </w:r>
          </w:p>
        </w:tc>
        <w:tc>
          <w:tcPr>
            <w:tcW w:w="3829" w:type="dxa"/>
            <w:tcBorders/>
            <w:vAlign w:val="center"/>
          </w:tcPr>
          <w:p>
            <w:pPr>
              <w:pStyle w:val="TableContents"/>
              <w:bidi w:val="0"/>
              <w:spacing w:before="0" w:after="283"/>
              <w:jc w:val="left"/>
              <w:rPr/>
            </w:pPr>
            <w:r>
              <w:rPr/>
              <w:t xml:space="preserve">Queued events are processed on recovery with no data loss </w:t>
            </w:r>
            <w:r>
              <w:rPr>
                <w:b/>
              </w:rPr>
              <w:t>[async]</w:t>
            </w:r>
          </w:p>
        </w:tc>
        <w:tc>
          <w:tcPr>
            <w:tcW w:w="2623" w:type="dxa"/>
            <w:tcBorders/>
            <w:vAlign w:val="center"/>
          </w:tcPr>
          <w:p>
            <w:pPr>
              <w:pStyle w:val="TableContents"/>
              <w:bidi w:val="0"/>
              <w:spacing w:before="0" w:after="283"/>
              <w:jc w:val="left"/>
              <w:rPr/>
            </w:pPr>
            <w:r>
              <w:rPr/>
              <w:t>Eventual-consistency verification, Section 3.4</w:t>
            </w:r>
          </w:p>
        </w:tc>
      </w:tr>
      <w:tr>
        <w:trPr/>
        <w:tc>
          <w:tcPr>
            <w:tcW w:w="510" w:type="dxa"/>
            <w:tcBorders/>
            <w:vAlign w:val="center"/>
          </w:tcPr>
          <w:p>
            <w:pPr>
              <w:pStyle w:val="TableContents"/>
              <w:bidi w:val="0"/>
              <w:spacing w:before="0" w:after="283"/>
              <w:jc w:val="left"/>
              <w:rPr/>
            </w:pPr>
            <w:r>
              <w:rPr/>
              <w:t>TC-033</w:t>
            </w:r>
          </w:p>
        </w:tc>
        <w:tc>
          <w:tcPr>
            <w:tcW w:w="4377" w:type="dxa"/>
            <w:tcBorders/>
            <w:vAlign w:val="center"/>
          </w:tcPr>
          <w:p>
            <w:pPr>
              <w:pStyle w:val="TableContents"/>
              <w:bidi w:val="0"/>
              <w:spacing w:before="0" w:after="283"/>
              <w:jc w:val="left"/>
              <w:rPr/>
            </w:pPr>
            <w:r>
              <w:rPr/>
              <w:t>Call a nonexistent route through the API Gateway</w:t>
            </w:r>
          </w:p>
        </w:tc>
        <w:tc>
          <w:tcPr>
            <w:tcW w:w="3829" w:type="dxa"/>
            <w:tcBorders/>
            <w:vAlign w:val="center"/>
          </w:tcPr>
          <w:p>
            <w:pPr>
              <w:pStyle w:val="TableContents"/>
              <w:bidi w:val="0"/>
              <w:spacing w:before="0" w:after="283"/>
              <w:jc w:val="left"/>
              <w:rPr/>
            </w:pPr>
            <w:r>
              <w:rPr/>
              <w:t>404 NOT_FOUND, correctly routed rejection rather than a Gateway crash</w:t>
            </w:r>
          </w:p>
        </w:tc>
        <w:tc>
          <w:tcPr>
            <w:tcW w:w="2623" w:type="dxa"/>
            <w:tcBorders/>
            <w:vAlign w:val="center"/>
          </w:tcPr>
          <w:p>
            <w:pPr>
              <w:pStyle w:val="TableContents"/>
              <w:bidi w:val="0"/>
              <w:spacing w:before="0" w:after="283"/>
              <w:jc w:val="left"/>
              <w:rPr/>
            </w:pPr>
            <w:r>
              <w:rPr/>
              <w:t>07_System Design Document, Section 4</w:t>
            </w:r>
          </w:p>
        </w:tc>
      </w:tr>
    </w:tbl>
    <w:p>
      <w:pPr>
        <w:pStyle w:val="Heading2"/>
        <w:bidi w:val="0"/>
        <w:jc w:val="left"/>
        <w:rPr/>
      </w:pPr>
      <w:r>
        <w:rPr/>
        <w:t>9. Defect Management</w:t>
      </w:r>
    </w:p>
    <w:tbl>
      <w:tblPr>
        <w:tblW w:w="11339" w:type="dxa"/>
        <w:jc w:val="left"/>
        <w:tblInd w:w="28" w:type="dxa"/>
        <w:tblLayout w:type="fixed"/>
        <w:tblCellMar>
          <w:top w:w="28" w:type="dxa"/>
          <w:left w:w="28" w:type="dxa"/>
          <w:bottom w:w="28" w:type="dxa"/>
          <w:right w:w="28" w:type="dxa"/>
        </w:tblCellMar>
      </w:tblPr>
      <w:tblGrid>
        <w:gridCol w:w="913"/>
        <w:gridCol w:w="5427"/>
        <w:gridCol w:w="4999"/>
      </w:tblGrid>
      <w:tr>
        <w:trPr/>
        <w:tc>
          <w:tcPr>
            <w:tcW w:w="913" w:type="dxa"/>
            <w:tcBorders/>
            <w:vAlign w:val="center"/>
          </w:tcPr>
          <w:p>
            <w:pPr>
              <w:pStyle w:val="TableHeading"/>
              <w:suppressLineNumbers/>
              <w:shd w:fill="1F3864" w:val="clear"/>
              <w:bidi w:val="0"/>
              <w:spacing w:before="0" w:after="283"/>
              <w:jc w:val="left"/>
              <w:rPr/>
            </w:pPr>
            <w:r>
              <w:rPr/>
              <w:t>Severity</w:t>
            </w:r>
          </w:p>
        </w:tc>
        <w:tc>
          <w:tcPr>
            <w:tcW w:w="5427" w:type="dxa"/>
            <w:tcBorders/>
            <w:vAlign w:val="center"/>
          </w:tcPr>
          <w:p>
            <w:pPr>
              <w:pStyle w:val="TableHeading"/>
              <w:suppressLineNumbers/>
              <w:shd w:fill="1F3864" w:val="clear"/>
              <w:bidi w:val="0"/>
              <w:spacing w:before="0" w:after="283"/>
              <w:jc w:val="left"/>
              <w:rPr/>
            </w:pPr>
            <w:r>
              <w:rPr/>
              <w:t>Definition</w:t>
            </w:r>
          </w:p>
        </w:tc>
        <w:tc>
          <w:tcPr>
            <w:tcW w:w="4999" w:type="dxa"/>
            <w:tcBorders/>
            <w:vAlign w:val="center"/>
          </w:tcPr>
          <w:p>
            <w:pPr>
              <w:pStyle w:val="TableHeading"/>
              <w:suppressLineNumbers/>
              <w:shd w:fill="1F3864" w:val="clear"/>
              <w:bidi w:val="0"/>
              <w:spacing w:before="0" w:after="283"/>
              <w:jc w:val="left"/>
              <w:rPr/>
            </w:pPr>
            <w:r>
              <w:rPr/>
              <w:t>Handling</w:t>
            </w:r>
          </w:p>
        </w:tc>
      </w:tr>
      <w:tr>
        <w:trPr/>
        <w:tc>
          <w:tcPr>
            <w:tcW w:w="913" w:type="dxa"/>
            <w:tcBorders/>
            <w:vAlign w:val="center"/>
          </w:tcPr>
          <w:p>
            <w:pPr>
              <w:pStyle w:val="TableContents"/>
              <w:bidi w:val="0"/>
              <w:spacing w:before="0" w:after="283"/>
              <w:jc w:val="left"/>
              <w:rPr/>
            </w:pPr>
            <w:r>
              <w:rPr/>
              <w:t>Critical</w:t>
            </w:r>
          </w:p>
        </w:tc>
        <w:tc>
          <w:tcPr>
            <w:tcW w:w="5427" w:type="dxa"/>
            <w:tcBorders/>
            <w:vAlign w:val="center"/>
          </w:tcPr>
          <w:p>
            <w:pPr>
              <w:pStyle w:val="TableContents"/>
              <w:bidi w:val="0"/>
              <w:spacing w:before="0" w:after="283"/>
              <w:jc w:val="left"/>
              <w:rPr/>
            </w:pPr>
            <w:r>
              <w:rPr/>
              <w:t>Data integrity or security breach (e.g. BR-03 bypassed, cross-company data leak, audit log tamperable)</w:t>
            </w:r>
          </w:p>
        </w:tc>
        <w:tc>
          <w:tcPr>
            <w:tcW w:w="4999" w:type="dxa"/>
            <w:tcBorders/>
            <w:vAlign w:val="center"/>
          </w:tcPr>
          <w:p>
            <w:pPr>
              <w:pStyle w:val="TableContents"/>
              <w:bidi w:val="0"/>
              <w:spacing w:before="0" w:after="283"/>
              <w:jc w:val="left"/>
              <w:rPr/>
            </w:pPr>
            <w:r>
              <w:rPr/>
              <w:t>Fixed before any further testing continues</w:t>
            </w:r>
          </w:p>
        </w:tc>
      </w:tr>
      <w:tr>
        <w:trPr/>
        <w:tc>
          <w:tcPr>
            <w:tcW w:w="913" w:type="dxa"/>
            <w:tcBorders/>
            <w:vAlign w:val="center"/>
          </w:tcPr>
          <w:p>
            <w:pPr>
              <w:pStyle w:val="TableContents"/>
              <w:bidi w:val="0"/>
              <w:spacing w:before="0" w:after="283"/>
              <w:jc w:val="left"/>
              <w:rPr/>
            </w:pPr>
            <w:r>
              <w:rPr/>
              <w:t>High</w:t>
            </w:r>
          </w:p>
        </w:tc>
        <w:tc>
          <w:tcPr>
            <w:tcW w:w="5427" w:type="dxa"/>
            <w:tcBorders/>
            <w:vAlign w:val="center"/>
          </w:tcPr>
          <w:p>
            <w:pPr>
              <w:pStyle w:val="TableContents"/>
              <w:bidi w:val="0"/>
              <w:spacing w:before="0" w:after="283"/>
              <w:jc w:val="left"/>
              <w:rPr/>
            </w:pPr>
            <w:r>
              <w:rPr/>
              <w:t>A "Must" requirement fails</w:t>
            </w:r>
          </w:p>
        </w:tc>
        <w:tc>
          <w:tcPr>
            <w:tcW w:w="4999" w:type="dxa"/>
            <w:tcBorders/>
            <w:vAlign w:val="center"/>
          </w:tcPr>
          <w:p>
            <w:pPr>
              <w:pStyle w:val="TableContents"/>
              <w:bidi w:val="0"/>
              <w:spacing w:before="0" w:after="283"/>
              <w:jc w:val="left"/>
              <w:rPr/>
            </w:pPr>
            <w:r>
              <w:rPr/>
              <w:t>Fixed before UAT sign-off</w:t>
            </w:r>
          </w:p>
        </w:tc>
      </w:tr>
      <w:tr>
        <w:trPr/>
        <w:tc>
          <w:tcPr>
            <w:tcW w:w="913" w:type="dxa"/>
            <w:tcBorders/>
            <w:vAlign w:val="center"/>
          </w:tcPr>
          <w:p>
            <w:pPr>
              <w:pStyle w:val="TableContents"/>
              <w:bidi w:val="0"/>
              <w:spacing w:before="0" w:after="283"/>
              <w:jc w:val="left"/>
              <w:rPr/>
            </w:pPr>
            <w:r>
              <w:rPr/>
              <w:t>Medium</w:t>
            </w:r>
          </w:p>
        </w:tc>
        <w:tc>
          <w:tcPr>
            <w:tcW w:w="5427" w:type="dxa"/>
            <w:tcBorders/>
            <w:vAlign w:val="center"/>
          </w:tcPr>
          <w:p>
            <w:pPr>
              <w:pStyle w:val="TableContents"/>
              <w:bidi w:val="0"/>
              <w:spacing w:before="0" w:after="283"/>
              <w:jc w:val="left"/>
              <w:rPr/>
            </w:pPr>
            <w:r>
              <w:rPr/>
              <w:t>A "Should" requirement fails, or a "Must" requirement has a workaround</w:t>
            </w:r>
          </w:p>
        </w:tc>
        <w:tc>
          <w:tcPr>
            <w:tcW w:w="4999" w:type="dxa"/>
            <w:tcBorders/>
            <w:vAlign w:val="center"/>
          </w:tcPr>
          <w:p>
            <w:pPr>
              <w:pStyle w:val="TableContents"/>
              <w:bidi w:val="0"/>
              <w:spacing w:before="0" w:after="283"/>
              <w:jc w:val="left"/>
              <w:rPr/>
            </w:pPr>
            <w:r>
              <w:rPr/>
              <w:t>Fixed before go-live where feasible; otherwise logged as a known issue with Board awareness</w:t>
            </w:r>
          </w:p>
        </w:tc>
      </w:tr>
      <w:tr>
        <w:trPr/>
        <w:tc>
          <w:tcPr>
            <w:tcW w:w="913" w:type="dxa"/>
            <w:tcBorders/>
            <w:vAlign w:val="center"/>
          </w:tcPr>
          <w:p>
            <w:pPr>
              <w:pStyle w:val="TableContents"/>
              <w:bidi w:val="0"/>
              <w:spacing w:before="0" w:after="283"/>
              <w:jc w:val="left"/>
              <w:rPr/>
            </w:pPr>
            <w:r>
              <w:rPr/>
              <w:t>Low</w:t>
            </w:r>
          </w:p>
        </w:tc>
        <w:tc>
          <w:tcPr>
            <w:tcW w:w="5427" w:type="dxa"/>
            <w:tcBorders/>
            <w:vAlign w:val="center"/>
          </w:tcPr>
          <w:p>
            <w:pPr>
              <w:pStyle w:val="TableContents"/>
              <w:bidi w:val="0"/>
              <w:spacing w:before="0" w:after="283"/>
              <w:jc w:val="left"/>
              <w:rPr/>
            </w:pPr>
            <w:r>
              <w:rPr/>
              <w:t>A "Could" requirement fails, or cosmetic issue</w:t>
            </w:r>
          </w:p>
        </w:tc>
        <w:tc>
          <w:tcPr>
            <w:tcW w:w="4999" w:type="dxa"/>
            <w:tcBorders/>
            <w:vAlign w:val="center"/>
          </w:tcPr>
          <w:p>
            <w:pPr>
              <w:pStyle w:val="TableContents"/>
              <w:bidi w:val="0"/>
              <w:spacing w:before="0" w:after="283"/>
              <w:jc w:val="left"/>
              <w:rPr/>
            </w:pPr>
            <w:r>
              <w:rPr/>
              <w:t>Logged for a future phase; not a go-live blocker</w:t>
            </w:r>
          </w:p>
        </w:tc>
      </w:tr>
    </w:tbl>
    <w:p>
      <w:pPr>
        <w:pStyle w:val="Heading2"/>
        <w:bidi w:val="0"/>
        <w:jc w:val="left"/>
        <w:rPr/>
      </w:pPr>
      <w:r>
        <w:rPr/>
        <w:t>10. Go-Live Exit Checklist</w:t>
      </w:r>
    </w:p>
    <w:p>
      <w:pPr>
        <w:pStyle w:val="BodyText"/>
        <w:numPr>
          <w:ilvl w:val="0"/>
          <w:numId w:val="3"/>
        </w:numPr>
        <w:tabs>
          <w:tab w:val="clear" w:pos="1134"/>
          <w:tab w:val="left" w:pos="709" w:leader="none"/>
        </w:tabs>
        <w:bidi w:val="0"/>
        <w:spacing w:before="0" w:after="0"/>
        <w:ind w:hanging="283" w:left="709"/>
        <w:jc w:val="left"/>
        <w:rPr/>
      </w:pPr>
      <w:r>
        <w:rPr/>
        <w:t xml:space="preserve">All Section 8 test cases pass, including [async] cases verified under realistic Kafka latency, not just immediate local runs. </w:t>
      </w:r>
    </w:p>
    <w:p>
      <w:pPr>
        <w:pStyle w:val="BodyText"/>
        <w:numPr>
          <w:ilvl w:val="0"/>
          <w:numId w:val="3"/>
        </w:numPr>
        <w:tabs>
          <w:tab w:val="clear" w:pos="1134"/>
          <w:tab w:val="left" w:pos="709" w:leader="none"/>
        </w:tabs>
        <w:bidi w:val="0"/>
        <w:spacing w:before="0" w:after="0"/>
        <w:ind w:hanging="283" w:left="709"/>
        <w:jc w:val="left"/>
        <w:rPr/>
      </w:pPr>
      <w:r>
        <w:rPr/>
        <w:t xml:space="preserve">No open Critical or High defects (Section 9). </w:t>
      </w:r>
    </w:p>
    <w:p>
      <w:pPr>
        <w:pStyle w:val="BodyText"/>
        <w:numPr>
          <w:ilvl w:val="0"/>
          <w:numId w:val="3"/>
        </w:numPr>
        <w:tabs>
          <w:tab w:val="clear" w:pos="1134"/>
          <w:tab w:val="left" w:pos="709" w:leader="none"/>
        </w:tabs>
        <w:bidi w:val="0"/>
        <w:spacing w:before="0" w:after="0"/>
        <w:ind w:hanging="283" w:left="709"/>
        <w:jc w:val="left"/>
        <w:rPr/>
      </w:pPr>
      <w:r>
        <w:rPr/>
        <w:t xml:space="preserve">Security testing (Section 3.5) complete with no open Critical/High findings. </w:t>
      </w:r>
    </w:p>
    <w:p>
      <w:pPr>
        <w:pStyle w:val="BodyText"/>
        <w:numPr>
          <w:ilvl w:val="0"/>
          <w:numId w:val="3"/>
        </w:numPr>
        <w:tabs>
          <w:tab w:val="clear" w:pos="1134"/>
          <w:tab w:val="left" w:pos="709" w:leader="none"/>
        </w:tabs>
        <w:bidi w:val="0"/>
        <w:spacing w:before="0" w:after="0"/>
        <w:ind w:hanging="283" w:left="709"/>
        <w:jc w:val="left"/>
        <w:rPr/>
      </w:pPr>
      <w:r>
        <w:rPr/>
        <w:t xml:space="preserve">UAT sign-off obtained from every process owner in Section 3.8. </w:t>
      </w:r>
    </w:p>
    <w:p>
      <w:pPr>
        <w:pStyle w:val="BodyText"/>
        <w:numPr>
          <w:ilvl w:val="0"/>
          <w:numId w:val="3"/>
        </w:numPr>
        <w:tabs>
          <w:tab w:val="clear" w:pos="1134"/>
          <w:tab w:val="left" w:pos="709" w:leader="none"/>
        </w:tabs>
        <w:bidi w:val="0"/>
        <w:spacing w:before="0" w:after="0"/>
        <w:ind w:hanging="283" w:left="709"/>
        <w:jc w:val="left"/>
        <w:rPr/>
      </w:pPr>
      <w:r>
        <w:rPr/>
        <w:t xml:space="preserve">Backup and restoration verified (TC-027) within the go-live environment, not only in a test environment. </w:t>
      </w:r>
    </w:p>
    <w:p>
      <w:pPr>
        <w:pStyle w:val="BodyText"/>
        <w:numPr>
          <w:ilvl w:val="0"/>
          <w:numId w:val="3"/>
        </w:numPr>
        <w:tabs>
          <w:tab w:val="clear" w:pos="1134"/>
          <w:tab w:val="left" w:pos="709" w:leader="none"/>
        </w:tabs>
        <w:bidi w:val="0"/>
        <w:ind w:hanging="283" w:left="709"/>
        <w:jc w:val="left"/>
        <w:rPr/>
      </w:pPr>
      <w:r>
        <w:rPr/>
        <w:t xml:space="preserve">Board informed of any Medium/Low known issues carried into production. </w:t>
      </w:r>
    </w:p>
    <w:p>
      <w:pPr>
        <w:pStyle w:val="Heading2"/>
        <w:bidi w:val="0"/>
        <w:jc w:val="left"/>
        <w:rPr/>
      </w:pPr>
      <w:r>
        <w:rPr/>
        <w:t>11. Risks to This Test Plan</w:t>
      </w:r>
    </w:p>
    <w:tbl>
      <w:tblPr>
        <w:tblW w:w="11339" w:type="dxa"/>
        <w:jc w:val="left"/>
        <w:tblInd w:w="28" w:type="dxa"/>
        <w:tblLayout w:type="fixed"/>
        <w:tblCellMar>
          <w:top w:w="28" w:type="dxa"/>
          <w:left w:w="28" w:type="dxa"/>
          <w:bottom w:w="28" w:type="dxa"/>
          <w:right w:w="28" w:type="dxa"/>
        </w:tblCellMar>
      </w:tblPr>
      <w:tblGrid>
        <w:gridCol w:w="5112"/>
        <w:gridCol w:w="6227"/>
      </w:tblGrid>
      <w:tr>
        <w:trPr/>
        <w:tc>
          <w:tcPr>
            <w:tcW w:w="5112" w:type="dxa"/>
            <w:tcBorders/>
            <w:vAlign w:val="center"/>
          </w:tcPr>
          <w:p>
            <w:pPr>
              <w:pStyle w:val="TableHeading"/>
              <w:suppressLineNumbers/>
              <w:shd w:fill="1F3864" w:val="clear"/>
              <w:bidi w:val="0"/>
              <w:spacing w:before="0" w:after="283"/>
              <w:jc w:val="left"/>
              <w:rPr/>
            </w:pPr>
            <w:r>
              <w:rPr/>
              <w:t>Risk</w:t>
            </w:r>
          </w:p>
        </w:tc>
        <w:tc>
          <w:tcPr>
            <w:tcW w:w="6227" w:type="dxa"/>
            <w:tcBorders/>
            <w:vAlign w:val="center"/>
          </w:tcPr>
          <w:p>
            <w:pPr>
              <w:pStyle w:val="TableHeading"/>
              <w:suppressLineNumbers/>
              <w:shd w:fill="1F3864" w:val="clear"/>
              <w:bidi w:val="0"/>
              <w:spacing w:before="0" w:after="283"/>
              <w:jc w:val="left"/>
              <w:rPr/>
            </w:pPr>
            <w:r>
              <w:rPr/>
              <w:t>Mitigation</w:t>
            </w:r>
          </w:p>
        </w:tc>
      </w:tr>
      <w:tr>
        <w:trPr/>
        <w:tc>
          <w:tcPr>
            <w:tcW w:w="5112" w:type="dxa"/>
            <w:tcBorders/>
            <w:vAlign w:val="center"/>
          </w:tcPr>
          <w:p>
            <w:pPr>
              <w:pStyle w:val="TableContents"/>
              <w:bidi w:val="0"/>
              <w:spacing w:before="0" w:after="283"/>
              <w:jc w:val="left"/>
              <w:rPr/>
            </w:pPr>
            <w:r>
              <w:rPr/>
              <w:t>System testing requires all eight services running together, which is more complex to stand up than the originally planned single application</w:t>
            </w:r>
          </w:p>
        </w:tc>
        <w:tc>
          <w:tcPr>
            <w:tcW w:w="6227" w:type="dxa"/>
            <w:tcBorders/>
            <w:vAlign w:val="center"/>
          </w:tcPr>
          <w:p>
            <w:pPr>
              <w:pStyle w:val="TableContents"/>
              <w:bidi w:val="0"/>
              <w:spacing w:before="0" w:after="283"/>
              <w:jc w:val="left"/>
              <w:rPr/>
            </w:pPr>
            <w:r>
              <w:rPr/>
              <w:t>Docker Compose-based local/staging orchestration (07_System Design Document, Section 11) to make this reproducible for the QA engineer, not just in CI</w:t>
            </w:r>
          </w:p>
        </w:tc>
      </w:tr>
      <w:tr>
        <w:trPr/>
        <w:tc>
          <w:tcPr>
            <w:tcW w:w="5112" w:type="dxa"/>
            <w:tcBorders/>
            <w:vAlign w:val="center"/>
          </w:tcPr>
          <w:p>
            <w:pPr>
              <w:pStyle w:val="TableContents"/>
              <w:bidi w:val="0"/>
              <w:spacing w:before="0" w:after="283"/>
              <w:jc w:val="left"/>
              <w:rPr/>
            </w:pPr>
            <w:r>
              <w:rPr/>
              <w:t>Eventual consistency makes some test assertions flaky if written as immediate checks</w:t>
            </w:r>
          </w:p>
        </w:tc>
        <w:tc>
          <w:tcPr>
            <w:tcW w:w="6227" w:type="dxa"/>
            <w:tcBorders/>
            <w:vAlign w:val="center"/>
          </w:tcPr>
          <w:p>
            <w:pPr>
              <w:pStyle w:val="TableContents"/>
              <w:bidi w:val="0"/>
              <w:spacing w:before="0" w:after="283"/>
              <w:jc w:val="left"/>
              <w:rPr/>
            </w:pPr>
            <w:r>
              <w:rPr/>
              <w:t>All [async] test cases in Section 8 explicitly require polling with a timeout, not an immediate assertion</w:t>
            </w:r>
          </w:p>
        </w:tc>
      </w:tr>
      <w:tr>
        <w:trPr/>
        <w:tc>
          <w:tcPr>
            <w:tcW w:w="5112" w:type="dxa"/>
            <w:tcBorders/>
            <w:vAlign w:val="center"/>
          </w:tcPr>
          <w:p>
            <w:pPr>
              <w:pStyle w:val="TableContents"/>
              <w:bidi w:val="0"/>
              <w:spacing w:before="0" w:after="283"/>
              <w:jc w:val="left"/>
              <w:rPr/>
            </w:pPr>
            <w:r>
              <w:rPr/>
              <w:t>No development team is engaged yet, so no one has executed against this plan</w:t>
            </w:r>
          </w:p>
        </w:tc>
        <w:tc>
          <w:tcPr>
            <w:tcW w:w="6227" w:type="dxa"/>
            <w:tcBorders/>
            <w:vAlign w:val="center"/>
          </w:tcPr>
          <w:p>
            <w:pPr>
              <w:pStyle w:val="TableContents"/>
              <w:bidi w:val="0"/>
              <w:spacing w:before="0" w:after="283"/>
              <w:jc w:val="left"/>
              <w:rPr/>
            </w:pPr>
            <w:r>
              <w:rPr/>
              <w:t>Re-review this plan with the engaged development team before Sprint 0 begins, per 03_Feasibility Study's condition on confirming microservices/Kafka delivery experience</w:t>
            </w:r>
          </w:p>
        </w:tc>
      </w:tr>
      <w:tr>
        <w:trPr/>
        <w:tc>
          <w:tcPr>
            <w:tcW w:w="5112" w:type="dxa"/>
            <w:tcBorders/>
            <w:vAlign w:val="center"/>
          </w:tcPr>
          <w:p>
            <w:pPr>
              <w:pStyle w:val="TableContents"/>
              <w:bidi w:val="0"/>
              <w:spacing w:before="0" w:after="283"/>
              <w:jc w:val="left"/>
              <w:rPr/>
            </w:pPr>
            <w:r>
              <w:rPr/>
              <w:t>Performance testing has no confirmed target load (user count, data volume)</w:t>
            </w:r>
          </w:p>
        </w:tc>
        <w:tc>
          <w:tcPr>
            <w:tcW w:w="6227" w:type="dxa"/>
            <w:tcBorders/>
            <w:vAlign w:val="center"/>
          </w:tcPr>
          <w:p>
            <w:pPr>
              <w:pStyle w:val="TableContents"/>
              <w:bidi w:val="0"/>
              <w:spacing w:before="0" w:after="283"/>
              <w:jc w:val="left"/>
              <w:rPr/>
            </w:pPr>
            <w:r>
              <w:rPr/>
              <w:t>Board/Finance to confirm expected Phase 1 usage before Sprint 8 performance testing begins</w:t>
            </w:r>
          </w:p>
        </w:tc>
      </w:tr>
    </w:tbl>
    <w:p>
      <w:pPr>
        <w:pStyle w:val="Heading2"/>
        <w:bidi w:val="0"/>
        <w:jc w:val="left"/>
        <w:rPr/>
      </w:pPr>
      <w:r>
        <w:rPr/>
        <w:t>12. Approval</w:t>
      </w:r>
    </w:p>
    <w:p>
      <w:pPr>
        <w:pStyle w:val="BodyText"/>
        <w:bidi w:val="0"/>
        <w:jc w:val="left"/>
        <w:rPr/>
      </w:pPr>
      <w:r>
        <w:rPr/>
        <w:t>Submitted for review by the engaged development team/technology partner as the Phase 1 testing baseline.</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Multi Holdings Limited Software Development Procedures and Implementation Blueprint (Phase 15 Testing, Phase 16 UAT, Section 18 Sample Test Cases — TC005–TC008 replaced with Phase 1-scoped equivalents per Section 1 note); 04_Software Requirements Specification (Section 11 Acceptance Criteria); 05_Business Process Document (Section 10 process owners); 06_User Stories, Epics and Product Backlog; 07_System Design Document (v2.0); 09_API Specification. </w:t>
      </w:r>
    </w:p>
    <w:p>
      <w:pPr>
        <w:pStyle w:val="Heading1"/>
      </w:pPr>
      <w:r>
        <w:t>Implementation Status Update (18 August 2026)</w:t>
      </w:r>
    </w:p>
    <w:p>
      <w:r>
        <w:t>Only a small, informal slice of this plan has actually been executed — nowhere near the formal Sprint 7/8 activity this plan describes. What was done:</w:t>
      </w:r>
    </w:p>
    <w:p>
      <w:r>
        <w:t>•  Manual verification (curl) of every Identity and Organization endpoint, including the authentication, RBAC and BR-01/BR-02 test cases relevant to those two services — in spirit equivalent to TC-001–TC-010, adapted to this slice's scope.</w:t>
      </w:r>
    </w:p>
    <w:p>
      <w:r>
        <w:t>•  One automated browser regression pass (Playwright) covering login as three different roles, company hierarchy navigation, and user/role management — closer to an informal Alpha-style exploratory pass (Section 3.7/13_Alpha Test Plan) than formal system testing.</w:t>
      </w:r>
    </w:p>
    <w:p>
      <w:r>
        <w:t>Not performed: contract testing (Section 3.3 — not applicable, since there are no independent services or Kafka topics yet), formal system testing against Section 8's full TC-001–TC-033 suite, security testing (Section 3.5), performance testing (Section 3.6), or anything resembling the Sprint 7/8 schedule in Section 6. No backup/restore drill (TC-027) has been run. 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 Code lives in mbms/, alongside this documentation set (docx/) and the Administrator/Customer mockups (screenshots/). See mbms/README.md for exact run instructions and seeded demo credentials.</w:t>
      </w:r>
    </w:p>
    <w:p>
      <w:pPr>
        <w:pStyle w:val="Heading1"/>
      </w:pPr>
      <w:r>
        <w:t>Implementation Status Update 2 (18 August 2026)</w:t>
      </w:r>
    </w:p>
    <w:p>
      <w:r>
        <w:t>Additional informal verification beyond the previous update, still nowhere near this plan's formal Sprint 7/8 activity:</w:t>
      </w:r>
    </w:p>
    <w:p>
      <w:r>
        <w:t>•  Manual verification (curl) that BR-03 rejects an unbalanced entry with UNBALANCED_ENTRY and that BR-04 rejects posting into a closed financial period with PERIOD_CLOSED — both matching Section 8's TC-019/TC-020 intent, run against Employees/Accounting instead of the not-yet-built Purchase Order/Invoice cases the source procedures document's sample table originally suggested.</w:t>
      </w:r>
    </w:p>
    <w:p>
      <w:r>
        <w:t>•  One further automated browser regression pass (Playwright) covering the Group Dashboard, Employees (group-wide and HR-scoped views), and a full Accounting flow: creating a balanced journal entry, confirming it auto-posts, and generating a trial balance that reconciles.</w:t>
      </w:r>
    </w:p>
    <w:p>
      <w:r>
        <w:t>Still not performed: contract testing, the full TC-001–TC-033 suite, security testing, performance testing. TC-024 (attempting to bypass the audit log's append-only constraint) isn't applicable yet since no audit_logs table exists in this slice.</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Implementation Status Update 3 (18 August 2026)</w:t>
      </w:r>
    </w:p>
    <w:p>
      <w:r>
        <w:t>Further informal verification: a Sales Manager scoped to Morise Agro Ltd correctly lists Suppliers (read-scoped, not permission-gated) but is rejected with FORBIDDEN attempting to create one (write-gated by supplier.manage) — confirming the read/write permission split documented in 09_API Specification is implemented exactly as written, not just assumed. Automated Playwright coverage extended to the Customers detail/statement panel and the Suppliers blacklist/unblacklist toggle.</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Implementation Status Update 4 (18 August 2026)</w:t>
      </w:r>
    </w:p>
    <w:p>
      <w:r>
        <w:t>Additional informal verification: TC-016/TC-017's intent (create a product with code/category/UoM; create a second product with a duplicate code in the same company and confirm 409 CONFLICT) was directly exercised against Products and passed. Automated Playwright coverage now includes creating a new product category inline and a product referencing it, end to end.</w:t>
      </w:r>
    </w:p>
    <w:p>
      <w:r>
        <w:t>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Implementation Status Update 5 (18 August 2026)</w:t>
      </w:r>
    </w:p>
    <w:p>
      <w:r>
        <w:t>TC-023's intent ("perform one create/edit/delete action in each of the 8 services") was directly exercised and passed — an audit event was confirmed for a mutation in each of Identity, Organization, Employee, Customer, Supplier, Product and Accounting (the Audit &amp; Reporting 'service' itself has no mutations to audit). TC-024's intent (attempting to bypass the append-only constraint) was verified only at the API layer — no update/delete route exists — not at the database-role level Section 8's own note calls for as defense-in-depth. TC-009's access_denied logging is now directly testable and was verified: a FORBIDDEN response produces a matching audit_logs row with the correct IP address, visible in the audit trail within the same test run.</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Implementation Status Update 6 (18 August 2026)</w:t>
      </w:r>
    </w:p>
    <w:p>
      <w:r>
        <w:t>A direct requirement-by-requirement re-check of Sprint 1 against 04_SRS Sections 4.1 and 4.3 — not a formal test-case run against this plan's TC numbering, but the same kind of verification TC-001 through TC-0xx (Authentication and User Management test cases, wherever this plan enumerates them) would exercise. Two categories of test this plan should specifically add given what this pass found: a negative test for password complexity rejection (weak password without uppercase/digit correctly rejected — now demonstrably true, wasn't before this update) and a test confirming a user with only a direct permission grant (no role) can access exactly the one endpoint that permission gates and nothing else — both were exercised manually this update via curl, not yet captured as a named, repeatable test case in this document.</w:t>
      </w:r>
    </w:p>
    <w:p>
      <w:r>
        <w:t>See mbms/README.md, "Sprint 1 verification pass", for the full detail and verification method.</w:t>
      </w:r>
    </w:p>
    <w:p>
      <w:pPr>
        <w:pStyle w:val="Heading1"/>
      </w:pPr>
      <w:r>
        <w:t>Implementation Status Update 7 (18 August 2026)</w:t>
      </w:r>
    </w:p>
    <w:p>
      <w:r>
        <w:t>A direct requirement-by-requirement re-check of Sprint 2 against 04_SRS Section 4.2, the same kind of verification this plan's Organization Service test cases would exercise. Two negative-path tests this plan should specifically add given what this pass found: creating a subsidiary/associate without relationshipType correctly rejected with VALIDATION_ERROR (now demonstrably true), and a permission-holder smoke test confirming at least one seeded demo user can actually reach every create/edit action a requirement claims is "implemented" — the demo-reachability gap this update found would have been caught immediately by a test case checking that, rather than only checking the API/permission logic in isolation.</w:t>
      </w:r>
    </w:p>
    <w:p>
      <w:r>
        <w:t>See mbms/README.md, "Sprint 2 verification pass", for the full detail and verification method.</w:t>
      </w:r>
    </w:p>
    <w:p>
      <w:pPr>
        <w:pStyle w:val="Heading1"/>
      </w:pPr>
      <w:r>
        <w:t>Implementation Status Update 8 (18 August 2026)</w:t>
      </w:r>
    </w:p>
    <w:p>
      <w:r>
        <w:t>A direct requirement-by-requirement re-check of Sprint 3 against 04_SRS Section 4.5. One test category this plan should specifically add given what this pass found: a UI-completeness check — confirming every field a create/edit API accepts is actually reachable through the corresponding form — distinct from an API-level field-coverage test, since this update found a case where the latter would have passed while the former would have failed for eleven of seventeen fields.</w:t>
      </w:r>
    </w:p>
    <w:p>
      <w:r>
        <w:t>See mbms/README.md, "Sprint 3 verification pass", for the full detail and verification method.</w:t>
      </w:r>
    </w:p>
    <w:p>
      <w:pPr>
        <w:pStyle w:val="Heading1"/>
      </w:pPr>
      <w:r>
        <w:t>Implementation Status Update 9 (18 August 2026)</w:t>
      </w:r>
    </w:p>
    <w:p>
      <w:r>
        <w:t>A direct requirement-by-requirement re-check of Sprint 4 against 04_SRS Sections 4.6/4.7. One test category this plan should specifically add given what this pass found, beyond the UI-completeness category already flagged in the previous update: an audit-completeness check confirming every mutating endpoint in a service produces a matching audit_logs entry, not just a sample — the missing supplier-update audit call this pass found would have been caught immediately by such a check, and passed unnoticed by every functional test that only checks the HTTP response.</w:t>
      </w:r>
    </w:p>
    <w:p>
      <w:r>
        <w:t>See mbms/README.md, "Sprint 4 verification pass", for the full detail and verification method.</w:t>
      </w:r>
    </w:p>
    <w:p>
      <w:pPr>
        <w:pStyle w:val="Heading1"/>
      </w:pPr>
      <w:r>
        <w:t>Implementation Status Update 10 (18 August 2026)</w:t>
      </w:r>
    </w:p>
    <w:p>
      <w:r>
        <w:t>A direct requirement-by-requirement re-check of Sprint 5 against 04_SRS Section 4.8. The audit-completeness category flagged as worth adding in the previous update caught real, previously-unnoticed gaps here (product update, category create) — confirming that category's value rather than just theorizing it.</w:t>
      </w:r>
    </w:p>
    <w:p>
      <w:r>
        <w:t>See mbms/README.md, "Sprint 5 verification pass", for the full detail and verification method.</w:t>
      </w:r>
    </w:p>
    <w:p>
      <w:pPr>
        <w:pStyle w:val="Heading1"/>
      </w:pPr>
      <w:r>
        <w:t>Implementation Status Update 11 (18 August 2026)</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 A direct requirement-by-requirement re-check of the actual Sprint 6 against 04_SRS Sections 4.4, 4.9 and 4.10. The demo-reachability test category flagged in an earlier update caught the FR-DASH-02 gap here too, its second confirmed catch after Sprint 2's company-management gap.</w:t>
      </w:r>
    </w:p>
    <w:p>
      <w:r>
        <w:t>See mbms/README.md, "Sprint 6 verification pass", for the full detail and verification method.</w:t>
      </w:r>
    </w:p>
    <w:p>
      <w:pPr>
        <w:pStyle w:val="Heading1"/>
      </w:pPr>
      <w:r>
        <w:t>Implementation Status Update 12 (18 August 2026)</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Section 3.5 (Security Testing)'s named attack categories — authorization bypass (cross-company, role escalation), SQL injection, XSS, CSRF, file-upload abuse, brute-force/rate-limiting — were each exercised directly this update, not just reasoned about from the code. Findings: all applicable categories pass; CSRF and file-upload abuse are structurally not applicable given this system's auth model and lack of any upload feature. Section 3.3/3.4 (contract/system testing) remain inapplicable pending the approved microservices architecture.</w:t>
      </w:r>
    </w:p>
    <w:p>
      <w:r>
        <w:t>See mbms/README.md, "Sprint 7: security testing pass", for the full detail and verification method.</w:t>
      </w:r>
    </w:p>
    <w:p>
      <w:pPr>
        <w:pStyle w:val="Heading1"/>
      </w:pPr>
      <w:r>
        <w:t>Implementation Status Update 13 (18 August 2026)</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This update is direct evidence for a test case this plan should add if it doesn't already have an equivalent: for every scoped list endpoint, attempt the request with an explicit filter[companyId] set to a company outside the caller's scope and confirm no out-of-scope data is returned. This exact test, run manually this update, is what found the critical bug described above — a scripted, repeatable version of it belongs in Section 8's test case set going forward, not just BR-01's existing single-resource "access an out-of-scope record by ID" cases (TC-010 and similar), which this list-filter variant is distinct from.</w:t>
      </w:r>
    </w:p>
    <w:p>
      <w:r>
        <w:t>See mbms/README.md, "Sprint 8: performance, Alpha and UAT pass", for the full detail and verification method.</w:t>
      </w:r>
    </w:p>
    <w:p>
      <w:pPr>
        <w:pStyle w:val="Heading1"/>
      </w:pPr>
      <w:r>
        <w:t>Implementation Status Update 14 (18 August 2026)</w:t>
      </w:r>
    </w:p>
    <w:p>
      <w:r>
        <w:t>Scope note: Phase 1 testing (Sprints 7–8, Sections 3.5–3.6) was already run by the previous update; this sprint built and tested a new Phase 2 module instead of re-running Phase 1 testing, since “Expenses” matched genuinely open work rather than needing a redirect.</w:t>
      </w:r>
    </w:p>
    <w:p>
      <w:r>
        <w:t>Test cases run against the new Expense Service, in the same curl-based method this document's earlier updates describe (a live browser pass was not available this session — verification here is API-level only, an honest gap against this document's own Section 3.4 System/E2E scope): full workflow (submit → manager approve → finance approve → pay, verifying the posted journal entry balances and matches the claim amount); permission gating at every step (a user lacking expense.approve.finance correctly receives FORBIDDEN calling /approve at the finance stage and calling /pay); state-machine guards (approving or paying an already-rejected/already-paid claim correctly returns CONFLICT, not a silent no-op); BR-01 scope isolation (a user scoped to a different company receives NOT_FOUND both listing and fetching another company's claim by direct ID, matching the identical check every other module already passes); and audit trail completeness (every submit/approve/reject/pay call produces the matching expense.claim.* event, verified via GET /audit/logs).</w:t>
      </w:r>
    </w:p>
    <w:p>
      <w:r>
        <w:t>See mbms/README.md, “Sprint 9”, for the full detail and verification method.</w:t>
      </w:r>
    </w:p>
    <w:p>
      <w:pPr>
        <w:pStyle w:val="Heading1"/>
      </w:pPr>
      <w:r>
        <w:t>Implementation Status Update 15 (18 August 2026)</w:t>
      </w:r>
    </w:p>
    <w:p>
      <w:r>
        <w:t>Scope note: this sprint's request (“Accounting”) matches Multi_Holdings_Limited_Software_Development_Procedures.docx's own Sprint 10 — confirmed by checking that document directly, not just 17_Development Plan, for the first time since Sprint 5.</w:t>
      </w:r>
    </w:p>
    <w:p>
      <w:r>
        <w:t>Test cases run against the new recurring-entries and report endpoints (curl-only — no live browser pass was available this session): generate-then-post round-trip for a recurring template, confirming the posted entry balances and timesGenerated/lastGeneratedAt update correctly; permission gating (a user without accounting.manage correctly receives FORBIDDEN generating a recurring entry); BR-01 scope isolation (a user scoped to a different company correctly receives NOT_FOUND on another company's template); Income Statement/Balance Sheet figures cross-checked against a parallel trial-balance call for the same company/period; and the consolidated report's correct aggregation and exclusion-with-reason behavior, verified from the holding company down to two real subsidiaries.</w:t>
      </w:r>
    </w:p>
    <w:p>
      <w:r>
        <w:t>See mbms/README.md, “Sprint 10”, for the full detail and verification method.</w:t>
      </w:r>
    </w:p>
    <w:p>
      <w:pPr>
        <w:pStyle w:val="Heading1"/>
      </w:pPr>
      <w:r>
        <w:t>Implementation Status Update 16 (18 August 2026)</w:t>
      </w:r>
    </w:p>
    <w:p>
      <w:r>
        <w:t>Scope note: matches Multi_Holdings_Limited_Software_Development_Procedures.docx's own Sprint 11 (“Assets”) directly.</w:t>
      </w:r>
    </w:p>
    <w:p>
      <w:r>
        <w:t>Test cases run (curl-only, no live browser pass available this session): permission gating (asset.manage required to create/transfer/record depreciation/request disposal; asset.approve.disposal required to approve/dispose — confirmed a requester cannot approve their own request); BR-01 scope isolation; the over-depreciation guard (an amount exceeding depreciable cost correctly returns CONFLICT); and the full disposal workflow producing a correctly-balanced derecognition entry, cross-checked against the asset's own computed net book value.</w:t>
      </w:r>
    </w:p>
    <w:p>
      <w:r>
        <w:t>See mbms/README.md, “Sprint 11”, for the full detail and verification method.</w:t>
      </w:r>
    </w:p>
    <w:p>
      <w:pPr>
        <w:pStyle w:val="Heading1"/>
      </w:pPr>
      <w:r>
        <w:t>Implementation Status Update 17 (18 August 2026)</w:t>
      </w:r>
    </w:p>
    <w:p>
      <w:r>
        <w:t>Scope note: matches Multi_Holdings_Limited_Software_Development_Procedures.docx's own Sprint 12 (“Projects”) directly.</w:t>
      </w:r>
    </w:p>
    <w:p>
      <w:r>
        <w:t>Test cases run (curl-only, no live browser pass available this session): permission gating (project.manage required for every mutation, confirmed with a Sales Manager correctly refused on every attempted action); BR-01 scope isolation; the full five-step status lifecycle walked in order with actualEndDate correctly stamped only on close; milestone-completion idempotency (a repeat complete call correctly returns CONFLICT); and the profitability endpoint's figures cross-checked by hand against seeded budget/expense/revenue data.</w:t>
      </w:r>
    </w:p>
    <w:p>
      <w:r>
        <w:t>See mbms/README.md, “Sprint 12”, for the full detail and verification method.</w:t>
      </w:r>
    </w:p>
    <w:p>
      <w:pPr>
        <w:pStyle w:val="Heading1"/>
      </w:pPr>
      <w:r>
        <w:t>Implementation Status Update 18 (18 August 2026)</w:t>
      </w:r>
    </w:p>
    <w:p>
      <w:r>
        <w:t>Scope note: matches Multi_Holdings_Limited_Software_Development_Procedures.docx's own Sprint 13 (“Reports”) directly.</w:t>
      </w:r>
    </w:p>
    <w:p>
      <w:r>
        <w:t>Test cases run (curl-only, no live browser pass available this session): every report's permission gate confirmed against its source module's actual requirement (not a new shared permission); JSON, CSV and PDF formats all confirmed for every report type; the exported PDF confirmed as a genuinely valid PDF document via the `file` command, not just a 200 response; and the accounting report's trial-balance variant cross-checked line-for-line against /accounting/reports/trial-balance itself.</w:t>
      </w:r>
    </w:p>
    <w:p>
      <w:r>
        <w:t>See mbms/README.md, “Sprint 13”, for the full detail and verification method.</w:t>
      </w:r>
    </w:p>
    <w:p>
      <w:pPr>
        <w:pStyle w:val="Heading1"/>
      </w:pPr>
      <w:r>
        <w:t>Implementation Status Update 19 (18 August 2026)</w:t>
      </w:r>
    </w:p>
    <w:p>
      <w:r>
        <w:t>Scope note: matches Multi_Holdings_Limited_Software_Development_Procedures.docx's own Sprint 14 directly — the last sprint in that order.</w:t>
      </w:r>
    </w:p>
    <w:p>
      <w:r>
        <w:t>Test cases run (curl-only, no live browser pass available this session): the full expense-approval notification chain (submit -&gt; manager-approvers notified -&gt; manager-approve -&gt; finance-approvers notified -&gt; finance-approve -&gt; submitter notified); asset disposal request notifying both a scoped and a group-visibility approver; per-user notification isolation (marking another user's notification read correctly returns NOT_FOUND); and Dashboard's new fields cross-checked against direct count queries for the same company. Audit Trail coverage was verified by grepping every eventType: call across Expenses/Assets/Projects directly, not assumed — 20 distinct event types found, all real mutations.</w:t>
      </w:r>
    </w:p>
    <w:p>
      <w:r>
        <w:t>See mbms/README.md, “Sprint 14”, for the full detail and verification method.</w:t>
      </w:r>
    </w:p>
    <w:p>
      <w:pPr>
        <w:pStyle w:val="Heading1"/>
      </w:pPr>
      <w:r>
        <w:t>Implementation Status Update 20 (19 August 2026)</w:t>
      </w:r>
    </w:p>
    <w:p>
      <w:r>
        <w:t>Scope note: requested directly against morise.docx, Section 2 — matches this document's own general Company/Group Management test coverage extended, not a new test area.</w:t>
      </w:r>
    </w:p>
    <w:p>
      <w:r>
        <w:t>Test cases run (curl-only, no live browser pass available this session): policy create/update scope-checked the same as branches/departments; an inter-company transaction created and posted end-to-end, confirmed as two separate balanced journal entries (one per company) on each company's own Journal Entries listing; a same-company asset transfer (succeeds) and a cross-company attempt lacking destination scope (correctly FORBIDDEN); the company-comparison report generated in JSON, CSV and PDF and cross-checked against direct count queries. Two real permission-check gaps were found and fixed during this pass's own verification (see mbms/README.md's “Judgment calls,” items 19–21, for the full account) — the same proactive-check discipline this Test Plan's TC-023 already establishes for every new module.</w:t>
      </w:r>
    </w:p>
    <w:p>
      <w:r>
        <w:t>See mbms/README.md, “Company and Holdings Management,” for the full detail and verification method.</w:t>
      </w:r>
    </w:p>
    <w:p>
      <w:pPr>
        <w:pStyle w:val="Heading1"/>
      </w:pPr>
      <w:r>
        <w:t>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New test scenarios: credit-limit rejection on order placement, balanced journal-entry posting and reversal (order create/cancel, payment), cross-customer scope isolation on every new endpoint, and a responsive-layout sweep from 320px to 1440px with zero horizontal overflow.</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A navigation regression checklist is added to Phase 1 test cases: each of the four categories expands and collapses; the category owning the current route is expanded on load; open/closed state persists across reload; every working screen is reachable under its new category and label; and every placeholder route renders the “Planned” screen rather than erroring or redirecting.</w:t>
      </w:r>
    </w:p>
    <w:p>
      <w:pPr>
        <w:pStyle w:val="Heading1"/>
      </w:pPr>
      <w:r>
        <w:t>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Test Plan gains a delegation authority matrix: Managing Director grants each domain (pass); Branch Manager grants operations in-scope (pass), hr (403 domain), operations out-of-scope (403 scope); HR Manager grants hr in-scope (pass), operations (403); non-grantor blocked by the guard (403); revoke mirrors grant; delegatable-grants returns a correctly filtered set; audit entries written for grant, revoke and refusal.</w:t>
      </w:r>
    </w:p>
    <w:p>
      <w:pPr>
        <w:pStyle w:val="Heading1"/>
      </w:pPr>
      <w:r>
        <w:t>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Test Plan adds per-role navigation-visibility cases: for each seeded role, confirm the sidebar shows exactly the expected items and no empty category; confirm a direct URL to an unpermitted screen redirects to the Dashboard; confirm Dashboard and My HR are always present and a platform admin sees everything.</w:t>
      </w:r>
    </w:p>
    <w:p>
      <w:pPr>
        <w:pStyle w:val="Heading1"/>
      </w:pPr>
      <w:r>
        <w:t>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Test Plan adds storefront localisation cases: the picker appears on header, Landing and Login; selecting each translated language changes the navigation, headings and buttons; the choice survives a reload; selecting an untranslated language leaves the UI readable in English with no missing text; HTML lang updates.</w:t>
      </w:r>
    </w:p>
    <w:p>
      <w:pPr>
        <w:pStyle w:val="Heading1"/>
      </w:pPr>
      <w:r>
        <w:t>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Test Plan adds cases for the expanded set: a sample of the new languages (e.g. French, Portuguese, Arabic, Mandarin) appears in the picker under the right continent; translated languages change the UI; untranslated ones stay readable in English; selecting Arabic flips the layout to right-to-left and selecting a left-to-right language restores it; the choice persists across reload.</w:t>
      </w:r>
    </w:p>
    <w:p>
      <w:pPr>
        <w:pStyle w:val="Heading1"/>
      </w:pPr>
      <w:r>
        <w:t>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Test Plan adds a full-coverage localisation check: for each fully translated language, walk every storefront screen (home, shop, product, cart, orders, invoices, payment, support, account, landing) and confirm no English UI string remains except server-supplied data; confirm status and priority badges are translated; confirm a partially translated language shows English only for missing strings; confirm right-to-left layout on Arabic across all screens.</w:t>
      </w:r>
    </w:p>
    <w:p>
      <w:pPr>
        <w:pStyle w:val="Heading1"/>
      </w:pPr>
      <w:r>
        <w:t>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Test Plan adds content-localisation cases: a read in a supported language returns glossary-translated category/product/unit text; a support ticket / address written in another language is stored in English with source_language set and the original retained; the authoring customer sees their original; a different-language view of the same record shows the English translated, not the original; staff always see English; the admin “show original” toggle reveals the source text; free-form text outside the glossary is left unchanged (documented limit).</w:t>
      </w:r>
    </w:p>
    <w:p>
      <w:pPr>
        <w:pStyle w:val="Heading1"/>
      </w:pPr>
      <w:r>
        <w:t>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Test Plan adds figure-localisation cases: for a currency-changing language, every displayed amount is converted at the fixed rate and formatted per locale (currency name, grouping, decimal mark); Uganda languages still show UGX; quantities/counts and digits in translated text use the language's script; a numeral submitted in a non-Western script is stored as 0-9 with the original retained; staff always see UGX / Western digits.</w:t>
      </w:r>
    </w:p>
    <w:p>
      <w:pPr>
        <w:pStyle w:val="Heading1"/>
      </w:pPr>
      <w:r>
        <w:t>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Test Plan adds subsidiary-lifecycle cases: MD creates / updates / activates / deactivates a subsidiary; MD adds and deletes a branch, department and policy; deleting an empty subsidiary succeeds; deleting a populated one returns 409 “deactivate instead”; the holding company cannot be deleted or deactivated; a non-MD/admin role is refused by the permission guard; every action appears in the audit trail.</w:t>
      </w:r>
    </w:p>
    <w:p>
      <w:pPr>
        <w:pStyle w:val="Heading1"/>
      </w:pPr>
      <w:r>
        <w:t>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Test Plan: confirm the new subsidiary, its five branches, nine departments and five policies are present and manageable by the Managing Director, and that deleting the populated subsidiary is blocked (deactivate instead), consistent with the subsidiary-lifecycle cases already added.</w:t>
      </w:r>
    </w:p>
    <w:p>
      <w:pPr>
        <w:pStyle w:val="Heading1"/>
      </w:pPr>
      <w:r>
        <w:t>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Test plan: cases for receipt increases on-hand; issue decreases it; issue beyond stock is rejected with 409; count sets the absolute figure and records the signed delta; the re-order point drives the Low / Out status; a user without product.manage is refused adjustments (403); reads are limited to the caller's company scope; every write appears in the audit trail.</w:t>
      </w:r>
    </w:p>
    <w:p>
      <w:pPr>
        <w:pStyle w:val="Heading1"/>
      </w:pPr>
      <w:r>
        <w:t>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Test plan: cases for percentage vs fixed discount maths; minimum-order and expiry rejections; redemption-cap enforcement; the code redeemed exactly once per order and the count incremented; VAT computed on the discounted subtotal; a user without marketing.manage / cms.manage refused writes (403); draft content invisible to the storefront until published; unpublish hides it again.</w:t>
      </w:r>
    </w:p>
    <w:p>
      <w:pPr>
        <w:pStyle w:val="Heading1"/>
      </w:pPr>
      <w:r>
        <w:t>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Test plan: confirm the Managing Director can create / update / deactivate / delete a discount code, create / update / delete a banner, and create / update / publish / unpublish / delete a content page; confirm a role without the codes is still refused (403); confirm an order placed with a code is unaffected when the code is later deleted.</w:t>
      </w:r>
    </w:p>
    <w:p>
      <w:pPr>
        <w:pStyle w:val="Heading1"/>
      </w:pPr>
      <w:r>
        <w:t>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Test plan: banner heading / body / link label and content page title / body render in each fully-translated language; digits appear in the language's script where applicable; the English view is byte-for-byte the stored value; a customer-typed delivery address in another language is still stored in English with the original kept; the discount validator's message key resolves in the storefront catalogue.</w:t>
      </w:r>
    </w:p>
    <w:p>
      <w:pPr>
        <w:pStyle w:val="Heading1"/>
      </w:pPr>
      <w:r>
        <w:t>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Test plan: the dashboard's headcount and breakdowns match the employee table; absence and late rates match the attendance records in the window; the pipeline counts only non-rejected, non-hired applications on active vacancies; contract / probation / leave lists contain only rows inside the 30-day window; a caller without an HR viewAll permission is refused (403); Departments list is scoped; delete is blocked (409) while a department has employees.</w:t>
      </w:r>
    </w:p>
    <w:p>
      <w:pPr>
        <w:pStyle w:val="Heading1"/>
      </w:pPr>
      <w:r>
        <w:t>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Test plan: PAYE and NSSF figures match the band schedule for sample salaries; a run includes only active employees with a gross set; approve is blocked without payroll.approve (403); pay posts a balanced journal entry and stamps paid_at; an approved salary advance is recovered by one instalment per run and flips to recovered when repaid; net pay never goes below zero; publishing a roster range promotes only planned entries and notifies employees with a login; coverage reports the leave clash.</w:t>
      </w:r>
    </w:p>
    <w:p>
      <w:pPr>
        <w:pStyle w:val="Heading1"/>
      </w:pPr>
      <w:r>
        <w:t>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Test plan: with a linked account, each my-hr endpoint returns only that employee's rows; clock in updates today and the counts; a leave request can be created and cancelled; a self-assessment can be submitted only for the caller's own review; a salary advance can be requested and a second concurrent one is refused (409); with an unlinked account, summary returns linked:false and the detail endpoints 404.</w:t>
      </w:r>
    </w:p>
    <w:p>
      <w:pPr>
        <w:pStyle w:val="Heading1"/>
      </w:pPr>
      <w:r>
        <w:t>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Test plan: for each seeded staff login, GET /api/v1/my-hr/summary returns linked:true and the detail endpoints return only that employee's data; an unlinked account still returns linked:false and 404s on the detail endpoints.</w:t>
      </w:r>
    </w:p>
    <w:p>
      <w:pPr>
        <w:pStyle w:val="Heading1"/>
      </w:pPr>
      <w:r>
        <w:t>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Test plan: the consolidated totals match the sum of the per-company figures and the dashboard's own financials; the AP / AR / expense / asset / project counts match the respective screens; the period table lists each company's latest period with the correct status; a caller with no finance permission is refused (403).</w:t>
      </w:r>
    </w:p>
    <w:p>
      <w:pPr>
        <w:pStyle w:val="Heading1"/>
      </w:pPr>
      <w:r>
        <w:t>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Test plan: register creates an active account and returns tokens; a duplicate email/phone is 409; login succeeds by email, by account number and by phone in several formats; Google sign-in logs in a known email and auto-registers an unknown one; a valid reset token sets the password, is single-use (401 on reuse) and expires after 30 minutes; the old password stops working and existing refresh tokens are revoked; forgot-password for an unknown identifier returns 200 with no token.</w:t>
      </w:r>
    </w:p>
    <w:p>
      <w:pPr>
        <w:pStyle w:val="Heading1"/>
      </w:pPr>
      <w:r>
        <w:t>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Tests — the group catalogue lists every subsidiary's priced products with company and branch tags; the company and branch filters; the subsidiary-directory counts; /me and login carry subsidiary, home branch and holding company; a mixed-company order returns 409; a single-subsidiary order posts to that subsidiary's books (order, invoice, journal entry); a multi-company cart places one order per company.</w:t>
      </w:r>
    </w:p>
    <w:p>
      <w:pPr>
        <w:pStyle w:val="Heading1"/>
      </w:pPr>
      <w:r>
        <w:t>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Tests — the catalogue lists all four subsidiaries' products with company/branch tags; the Subsidiaries directory counts are 8 / 6 / 6 / 4; a Clearing &amp; Forwarding order and a Warehouse Management order each post an invoice and a balanced journal entry in the correct company.</w:t>
      </w:r>
    </w:p>
    <w:p>
      <w:pPr>
        <w:pStyle w:val="Heading1"/>
      </w:pPr>
      <w:r>
        <w:t>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Tests — a Swahili / Arabic customer sees localised category, branch and subsidiary names; a registration or profile edit in another language stores English + 0-9 with the original kept; GET /me returns the original to the authoring language and English to an English reader.</w:t>
      </w:r>
    </w:p>
    <w:p>
      <w:pPr>
        <w:pStyle w:val="Heading1"/>
      </w:pPr>
      <w:r>
        <w:t>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Tests — add a smoke check that GET /api/v1/docs and /api/v1/docs-json return 200, that the document parses as OpenAPI 3, and that “Try it out” on POST /identity/auth/login works unauthenticated; optionally lint backend/openapi.json in CI.</w:t>
      </w:r>
    </w:p>
    <w:p>
      <w:pPr>
        <w:pStyle w:val="Heading1"/>
      </w:pPr>
      <w:r>
        <w:t>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Tests — add: each of the seven public routes renders signed-out; GET /customer-portal/public/overview returns 200 with the documented shape and needs no token; the Companies grid count equals the active subsidiary count; a signed-in user still sees the dashboard at “/”.</w:t>
      </w:r>
    </w:p>
    <w:p>
      <w:pPr>
        <w:pStyle w:val="Heading1"/>
      </w:pPr>
      <w:r>
        <w:t>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Tests — the Update 50 checks still hold. Update any visual / snapshot expectations for the corporate pages to the storefront’s navy / white / amber styling and system fonts; confirm no external font is requested.</w:t>
      </w:r>
    </w:p>
    <w:p>
      <w:pPr>
        <w:pStyle w:val="Heading1"/>
      </w:pPr>
      <w:r>
        <w:t>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Tests — extend the corporate-site visual check to /page/about and /page/terms: they render with the shared utility bar / nav / footer and the storefront styling, and still load without a token.</w:t>
      </w:r>
    </w:p>
    <w:p>
      <w:pPr>
        <w:pStyle w:val="Heading1"/>
      </w:pPr>
      <w:r>
        <w:t>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Tests — add: cms.manage can create / patch / delete a channel and cms.viewAll can only read; a hidden channel is absent from GET /customer-portal/public/social-links and present in GET /cms/social-links; the public read needs no token; an invalid platform or a non-URL is rejected 400; the storefront footer renders the visible set and nothing when the list is empty.</w:t>
      </w:r>
    </w:p>
    <w:p>
      <w:pPr>
        <w:pStyle w:val="Heading1"/>
      </w:pPr>
      <w:r>
        <w:t>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Tests — add: cms.manage can CRUD an FAQ item and cms.viewAll can only read; a hidden FAQ is absent from GET /customer-portal/public/faqs; the public FAQ read and the newsletter POST need no token; a malformed email is 400; a repeat sign-up still succeeds and does not create a duplicate row; &gt; 10 sign-ups / minute / IP are throttled; a sign-up appears in GET /cms/newsletter-subscribers with the right counts.</w:t>
      </w:r>
    </w:p>
    <w:p>
      <w:pPr>
        <w:pStyle w:val="Heading1"/>
      </w:pPr>
      <w:r>
        <w:t>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Tests — add: an order read in a translated language returns localised product / company names and localised digits; a customer who cancelled in language L sees their original, any other reader sees the English; cancelling in L stores English + *_original + *_source_language; a staff cancel stores English only; a payment reference with non-Western digits is stored 0-9.</w:t>
      </w:r>
    </w:p>
    <w:p>
      <w:pPr>
        <w:pStyle w:val="Heading1"/>
      </w:pPr>
      <w:r>
        <w:t>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Tests — add: the dashboard’s recentOrders read in a translated language returns localised names; statement.transactions carry a translated typeLabel; the statement PDF for a Latin-script language contains the translated header words; a discount code with non-Western digits is matched to its 0-9 form; a non-Latin-script PDF still validates as a PDF (label words English — documented limit).</w:t>
      </w:r>
    </w:p>
    <w:p>
      <w:pPr>
        <w:pStyle w:val="Heading1"/>
      </w:pPr>
      <w:r>
        <w:t>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Tests — add an organisation-lifecycle regression that the Managing Director can view / update / activate / deactivate Morise Collateral Management Ltd and its 6 sites, 9 departments and 6 policies, and a check that the group directory / overview counts move to five subsidiaries / 20 branches. No CMS functional tests yet.</w:t>
      </w:r>
    </w:p>
    <w:p>
      <w:pPr>
        <w:pStyle w:val="Heading1"/>
      </w:pPr>
      <w:r>
        <w:t>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Tests — add: the disclaimer gate renders at “/” for a signed-out, un-acknowledged visitor; the continue button is disabled and counts down for holdSeconds, then activates; acknowledging sets the per-browser flag and shows the landing page; a return visit skips the gate; a deep link to /companies redirects to “/” until acknowledged; cms.manage can CRUD a statement and cms.viewAll can only read; a hidden statement is absent from the public endpoint; the public read needs no token.</w:t>
      </w:r>
    </w:p>
    <w:p>
      <w:pPr>
        <w:pStyle w:val="Heading1"/>
      </w:pPr>
      <w:r>
        <w:t>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Tests — add: the disclaimer gate and landing page render fully in a non-English language via ?lang= and via navigator.languages; GET /customer-portal/public/disclaimer with Accept-Language returns translated statements; the Arabic layout is right-to-left; the picker choice persists and overrides detection.</w:t>
      </w:r>
    </w:p>
    <w:p>
      <w:pPr>
        <w:pStyle w:val="Heading1"/>
      </w:pPr>
      <w:r>
        <w:t>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Tests — add: the storefront catalogue filtered to Morise Collateral Management Ltd returns the ten CMC services with prices and branch tags; an order for one of them is invoiced and GL-posted in that subsidiary’s books; the category / service text localises on Accept-Language.</w:t>
      </w:r>
    </w:p>
    <w:p>
      <w:pPr>
        <w:pStyle w:val="Heading1"/>
      </w:pPr>
      <w:r>
        <w:t>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Tests — add a role-authority regression: signed in as the Managing Director, every admin route returns 200 (no 403) and a representative write in each module (supplier / customer / product / account / asset / shift / vacancy / payroll run / roster entry / employee) is accepted or fails only on validation; the sixteen updated screens render their manage / approve controls.</w:t>
      </w:r>
    </w:p>
    <w:p>
      <w:pPr>
        <w:pStyle w:val="Heading1"/>
      </w:pPr>
      <w:r>
        <w:t>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Tests — add a lightweight render check that &lt;Logo/&gt; mounts in both apps and that the placeholder ‘M’ text nodes are gone from the Admin top bar / login and the Storefront header / gate / auth pages; both vite builds must pass.</w:t>
      </w:r>
    </w:p>
    <w:p>
      <w:pPr>
        <w:pStyle w:val="Heading1"/>
      </w:pPr>
      <w:r>
        <w:t>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Tests — add a check that each brand/banners/*.svg parses as XML and declares width/height/viewBox; that /brand/banners/group-hero-bg.svg and social-card.svg return 200 from both apps; and that the storefront home renders the three seeded promo banners.</w:t>
      </w:r>
    </w:p>
    <w:p>
      <w:pPr>
        <w:pStyle w:val="Heading1"/>
      </w:pPr>
      <w:r>
        <w:t>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Tests — add a check that the landing Companies grid, the Companies directory, the subsidiary directory and the shop each render at least one &lt;img src="/brand/banners/…"&gt;, and that bannerFor() returns a subsidiary asset for each seeded subsidiary name and the group hero for an unknown name.</w:t>
      </w:r>
    </w:p>
    <w:p>
      <w:pPr>
        <w:pStyle w:val="Heading1"/>
      </w:pPr>
      <w:r>
        <w:t>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Tests — the delivery service and endpoints are testable now — the status state machine and its illegal-transition guards, per-company scope isolation, proof-of-delivery advancing the order to “delivered”, and the dispatch metrics maths — plus a check that every /api/v1/delivery route returns 403 until the permissions are seeded. No delivery tests exist yet.</w:t>
      </w:r>
    </w:p>
    <w:p>
      <w:pPr>
        <w:pStyle w:val="Heading1"/>
      </w:pPr>
      <w:r>
        <w:t>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Tests — when built: acknowledgement only on a “delivered” delivery and only by the owning customer; “good” sets the invoice issuedAt / stampedAt and produces a PDF bearing the stamp; “damaged” / “incomplete” / “not received” issue no stamp and open an exception; the stamped PDF honours Accept-Language. No tests yet.</w:t>
      </w:r>
    </w:p>
    <w:p>
      <w:pPr>
        <w:pStyle w:val="Heading1"/>
      </w:pPr>
      <w:r>
        <w:t>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Tests — when activated: assign only within scope; reject an inactive persona, a persona from another company, and a delivered / cancelled delivery; create-with-driverId lands in “assigned”; reassignment updates driver_id and logs an event; the eligible-orders queue excludes cancelled and already-delivered orders. No tests yet.</w:t>
      </w:r>
    </w:p>
    <w:p>
      <w:pPr>
        <w:pStyle w:val="Heading1"/>
      </w:pPr>
      <w:r>
        <w:t>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Tests — the endpoints now respond, so the delivery tests can be written / enabled: a delivery.manage holder creates a delivery and assigns a persona; a role without the codes still gets 403; scope isolation and the illegal-transition guards hold. Verified manually end to end; automated coverage is still to add.</w:t>
      </w:r>
    </w:p>
    <w:p>
      <w:pPr>
        <w:pStyle w:val="Heading1"/>
      </w:pPr>
      <w:r>
        <w:t>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Tests — update UI assertions that check for “Product Catalog”, “Add to Cart” or “Cart” to expect “Services Catalog”, “Add to Invoice” and “Invoice”. No behavioural test change.</w:t>
      </w:r>
    </w:p>
    <w:p>
      <w:pPr>
        <w:pStyle w:val="Heading1"/>
      </w:pPr>
      <w:r>
        <w:t>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Tests — built payroll behaviour is testable now (PAYE bands, NSSF rates, advance recovery, run status machine, GL balance on pay, scope isolation). The spec adds test scope for structure build-up, typed deductions, loan amortisation, payslip-PDF content, bank-schedule totals, and the three report roll-ups.</w:t>
      </w:r>
    </w:p>
    <w:p>
      <w:pPr>
        <w:pStyle w:val="Heading1"/>
      </w:pPr>
      <w:r>
        <w:t>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Tests — added coverage scope: gross = sum of applicable components; one-off components apply only to their tagged month; structure-less employees fall back to grossSalary; one active recurring basic per employee; a role without payroll.manage is refused; the payslip breakdown persists through approve → pay. Verified manually end to end.</w:t>
      </w:r>
    </w:p>
    <w:p>
      <w:pPr>
        <w:pStyle w:val="Heading1"/>
      </w:pPr>
      <w:r>
        <w:t>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Tests — the accounting / AR / AP / statement flows already have coverage from Sprint 10 and the Financial Module Deepening. A new test target would be a dedicated AR sub-ledger reconciliation once built.</w:t>
      </w:r>
    </w:p>
    <w:p>
      <w:pPr>
        <w:pStyle w:val="Heading1"/>
      </w:pPr>
      <w:r>
        <w:t>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Tests — bank / cash reconciliation is already tested (Financial Module Deepening). New test scope when built: a petty-cash float never negative; a transfer posts a single balanced journal entry; a voucher's amount matches its payment; the forecast reconciles to opening cash + projected in — projected out.</w:t>
      </w:r>
    </w:p>
    <w:p>
      <w:pPr>
        <w:pStyle w:val="Heading1"/>
      </w:pPr>
      <w:r>
        <w:t>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Tests — budget-vs-actual and project budget variance already have coverage (Financial Module Deepening / Sprint 12). New test scope when built: a budget cannot be exceeded silently (an alert fires); an approved budget is immutable except via a revision; a group budget-vs-actual equals the sum of the subsidiary reports.</w:t>
      </w:r>
    </w:p>
    <w:p>
      <w:pPr>
        <w:pStyle w:val="Heading1"/>
      </w:pPr>
      <w:r>
        <w:t>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Tests — customer, order, invoice, credit-note and discount flows already have coverage (EPIC-06 / Sprint 16 / Financial Module Deepening). New test scope when built: quote → order conversion preserves lines and totals; a sales return reverses stock and raises a credit note; a credit-limit check blocks an over-limit order; commission accrues only on paid invoices; a pipeline stage transition is one-way with an audit.</w:t>
      </w:r>
    </w:p>
    <w:p>
      <w:pPr>
        <w:pStyle w:val="Heading1"/>
      </w:pPr>
      <w:r>
        <w:t>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Tests — supplier and AP invoice-approval flows already have coverage (Financial Module Deepening). New test scope when built: a requisition cannot bypass department approval; an RFQ awards to exactly one quotation; a PO cannot exceed the approved requisition; a GRN quantity cannot exceed the PO; a three-way match blocks an invoice that does not match its PO and GRN.</w:t>
      </w:r>
    </w:p>
    <w:p>
      <w:pPr>
        <w:pStyle w:val="Heading1"/>
      </w:pPr>
      <w:r>
        <w:t>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Tests — supplier CRUD, the sensitive-field masking and blacklist / unblacklist already have coverage (Sprint 3 / RBAC completion). New test scope when built: a suspended supplier cannot receive a new PO; an evaluation writes to the performance score; a document upload is scoped to the supplier's company.</w:t>
      </w:r>
    </w:p>
    <w:p>
      <w:pPr>
        <w:pStyle w:val="Heading1"/>
      </w:pPr>
      <w:r>
        <w:t>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Tests — new coverage: primary-contact demotion on add / update; suspend then unsuspend and the past-date auto-lift; a new evaluation shifts the performance average and trend; 409 on suspending a blacklisted supplier; 403 on every mutation without supplier.manage; company scoping on the sub-routes matches GET /suppliers/:id.</w:t>
      </w:r>
    </w:p>
    <w:p>
      <w:pPr>
        <w:pStyle w:val="Heading1"/>
      </w:pPr>
      <w:r>
        <w:t>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Tests — new coverage: a transfer moves both warehouse balances and leaves the roll-up unchanged; over-issue / over-transfer return 409; the MAIN backfill equals the prior roll-up; shortage / surplus fire on the seeded min / max; the expiring report picks up a near-expiry batch; a serial receipt then issue flips status and a mismatched serial count is rejected; 403 on every write without product.manage; sub-routes are company-scoped like GET /inventory/stock.</w:t>
      </w:r>
    </w:p>
    <w:p>
      <w:pPr>
        <w:pStyle w:val="Heading1"/>
      </w:pPr>
      <w:r>
        <w:t>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Tests — new coverage: receiving raises the warehouse balance and the roll-up; a pick list runs the full pending → dispatched machine and carries a linked order to out_for_delivery; re-dispatch / re-receive → 409; a short pick → 409; reconcile writes the variance and posts a count adjustment; a barcode resolves to its product; 403 on every write without product.manage.</w:t>
      </w:r>
    </w:p>
    <w:p>
      <w:pPr>
        <w:pStyle w:val="Heading1"/>
      </w:pPr>
      <w:r>
        <w:t>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Tests — new coverage: a category's defaults flow into a new asset; the asset number auto-generates and retries on a clash; the history timeline is chronological and covers every lifecycle action; the register / depreciation-schedule totals are correct; insurance-expiring and inspections-due honour the day window; 403 on every write without asset.manage.</w:t>
      </w:r>
    </w:p>
    <w:p>
      <w:pPr>
        <w:pStyle w:val="Heading1"/>
      </w:pPr>
      <w:r>
        <w:t>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Tests — new coverage: fuel economy from full-to-full fills; a scheduled service advances next-due; reassigning a driver auto-ends the previous assignment; a duplicate plate returns 409; fuel / service / renewal each create a matching vehicle_expense; the five reports total correctly; 403 on every write without fleet.manage; the Warehouse Manager (granted) can register a vehicle.</w:t>
      </w:r>
    </w:p>
    <w:p>
      <w:pPr>
        <w:pStyle w:val="Heading1"/>
      </w:pPr>
      <w:r>
        <w:t>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Tests — new coverage: the alert feed returns critical rows for anything already overdue / expired and warning rows within the window; grouped pending-approval counts; the feed is filtered to the caller's company scope; category and severity filters narrow it; /summary totals reconcile with the list. Regression scope for the planned modules is recorded, not yet executed.</w:t>
      </w:r>
    </w:p>
    <w:p>
      <w:pPr>
        <w:pStyle w:val="Heading1"/>
      </w:pPr>
      <w:r>
        <w:t>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Tests — new coverage: every answer resolves to a number or a clear “planned” note; the group totals equal the sum of the per-company breakdown; a subsidiary-scoped user gets the answers recomputed for their companies only; /overview values reconcile with /questions.</w:t>
      </w:r>
    </w:p>
    <w:p>
      <w:pPr>
        <w:pStyle w:val="Heading1"/>
      </w:pPr>
      <w:r>
        <w:t>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Tests — new coverage: an approved run's payslip is returned to its owner with status “approved” and no pay date; a draft or cancelled run's payslips are not returned; approving a run creates one notification per member with a login; paying the run changes the returned status to “paid” with paidAt set.</w:t>
      </w:r>
    </w:p>
    <w:p>
      <w:pPr>
        <w:pStyle w:val="Heading1"/>
      </w:pPr>
      <w:r>
        <w:t>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Tests — new coverage: an alert routes to the expected department by name keyword; a scoped user with a department receives only that department's alerts plus company-wide ones; a group-visibility user and a no-department user receive all in-scope alerts; a second poll creates no duplicates; clearing the source condition deletes the mirrored notification.</w:t>
      </w:r>
    </w:p>
    <w:p>
      <w:pPr>
        <w:pStyle w:val="Heading1"/>
      </w:pPr>
      <w:r>
        <w:t>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Tests — new coverage: the bell dropdown renders notification text at normal contrast; low-stock routes to Warehouse (keyword “warehouse”) not a broader operations department; a company with only a general operations department still receives vehicle / stock / inspection alerts via the catch-all keywords.</w:t>
      </w:r>
    </w:p>
    <w:p>
      <w:pPr>
        <w:pStyle w:val="Heading1"/>
      </w:pPr>
      <w:r>
        <w:t>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Tests — a covering path: save the shared record, apply with and without createMissing and overwriteUrls, clear all, re-apply, and read the public footer endpoint.</w:t>
      </w:r>
    </w:p>
    <w:p>
      <w:pPr>
        <w:pStyle w:val="Heading1"/>
      </w:pPr>
      <w:r>
        <w:t>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 The per-platform URL placeholder is built from the shared handle in the Update 88 record where one is set.</w:t>
      </w:r>
    </w:p>
    <w:p>
      <w:pPr>
        <w:pStyle w:val="BodyText"/>
      </w:pPr>
      <w:r>
        <w:t>Backing this: the `social_links` table now has a UNIQUE constraint on `platform` (migration 20260902160000_social_link_platform_unique — it de-duplicates any existing rows first, keeping the earliest per platform), so each platform maps to at most one channel. Two endpoints were added under the existing cms.manage / cms.viewAll permissions (no new permission): GET /api/v1/cms/social-links/roster returns all nine platforms in canonical order with any existing row merged in and a URL hint; PUT /api/v1/cms/social-links/platform/:platform creates, updates or (on an explicit empty URL) deletes that platform's single row. The free-form “add a channel” form is replaced by the roster, and the old POST /cms/social-links now rejects a second row for a platform with a clear message. Every mutation is audited as before (cms.social_link.created / updated / deleted).</w:t>
      </w:r>
    </w:p>
    <w:p>
      <w:pPr>
        <w:pStyle w:val="BodyText"/>
      </w:pPr>
      <w:r>
        <w:t>Verified end to end against the running system: the roster returns all nine platforms with the four seeded ones (Facebook, X, Instagram, LinkedIn shown; WhatsApp hidden) merged in and the rest marked “not set”; PUT platform/youtube created a row, PUT platform/facebook updated its URL, PUT platform/whatsapp with an empty URL deleted it, and POST /cms/social-links for an existing platform returned a 409 with the “edit it in the platform roster” message; the storefront footer reflected each change. nest build, admin vite build and storefront vite build all clean; prisma migrate deploy applied; openapi.json regenerated (357 paths, 455 operations). The Update 88 shared-content panel and its one-click apply / add-all / clear-all actions are unchanged and sit above the roster.</w:t>
      </w:r>
    </w:p>
    <w:p>
      <w:pPr>
        <w:pStyle w:val="Heading2"/>
      </w:pPr>
      <w:r>
        <w:t>Impact on this document</w:t>
      </w:r>
    </w:p>
    <w:p>
      <w:pPr>
        <w:pStyle w:val="BodyText"/>
      </w:pPr>
      <w:r>
        <w:t>Tests — a covering path: read the roster (all nine platforms), PUT to create / update / clear a platform row, and confirm `POST /cms/social-links` rejects a duplicate platform.</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Test Plan</dc:title>
</cp:coreProperties>
</file>

<file path=docProps/custom.xml><?xml version="1.0" encoding="utf-8"?>
<Properties xmlns="http://schemas.openxmlformats.org/officeDocument/2006/custom-properties" xmlns:vt="http://schemas.openxmlformats.org/officeDocument/2006/docPropsVTypes"/>
</file>