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Morise Holdings Limited</w:t>
      </w:r>
    </w:p>
    <w:p>
      <w:pPr>
        <w:pStyle w:val="BodyText"/>
        <w:bidi w:val="0"/>
        <w:spacing w:before="30" w:after="283"/>
        <w:ind w:hanging="0" w:left="0" w:right="0"/>
        <w:jc w:val="left"/>
        <w:rPr>
          <w:color w:val="444444"/>
          <w:sz w:val="24"/>
        </w:rPr>
      </w:pPr>
      <w:r>
        <w:rPr>
          <w:color w:val="444444"/>
          <w:sz w:val="24"/>
        </w:rPr>
        <w:t>Administrator Manual</w:t>
      </w:r>
    </w:p>
    <w:p>
      <w:pPr>
        <w:pStyle w:val="BodyText"/>
        <w:bidi w:val="0"/>
        <w:spacing w:before="30" w:after="283"/>
        <w:ind w:hanging="0" w:left="0" w:right="0"/>
        <w:jc w:val="left"/>
        <w:rPr>
          <w:color w:val="444444"/>
          <w:sz w:val="24"/>
        </w:rPr>
      </w:pPr>
      <w:r>
        <w:rPr>
          <w:color w:val="444444"/>
          <w:sz w:val="24"/>
        </w:rPr>
        <w:t>Morise Holdings Limited Business Management System (MBMS) — Phase 1</w:t>
      </w:r>
    </w:p>
    <w:tbl>
      <w:tblPr>
        <w:tblW w:w="11339" w:type="dxa"/>
        <w:jc w:val="left"/>
        <w:tblInd w:w="28" w:type="dxa"/>
        <w:tblLayout w:type="fixed"/>
        <w:tblCellMar>
          <w:top w:w="28" w:type="dxa"/>
          <w:left w:w="28" w:type="dxa"/>
          <w:bottom w:w="28" w:type="dxa"/>
          <w:right w:w="28" w:type="dxa"/>
        </w:tblCellMar>
      </w:tblPr>
      <w:tblGrid>
        <w:gridCol w:w="1724"/>
        <w:gridCol w:w="9615"/>
      </w:tblGrid>
      <w:tr>
        <w:trPr/>
        <w:tc>
          <w:tcPr>
            <w:tcW w:w="1724" w:type="dxa"/>
            <w:tcBorders/>
            <w:vAlign w:val="center"/>
          </w:tcPr>
          <w:p>
            <w:pPr>
              <w:pStyle w:val="TableContents"/>
              <w:bidi w:val="0"/>
              <w:spacing w:before="0" w:after="283"/>
              <w:jc w:val="left"/>
              <w:rPr>
                <w:b/>
              </w:rPr>
            </w:pPr>
            <w:r>
              <w:rPr>
                <w:b/>
              </w:rPr>
              <w:t>Document Type:</w:t>
            </w:r>
          </w:p>
        </w:tc>
        <w:tc>
          <w:tcPr>
            <w:tcW w:w="9615" w:type="dxa"/>
            <w:tcBorders/>
            <w:vAlign w:val="center"/>
          </w:tcPr>
          <w:p>
            <w:pPr>
              <w:pStyle w:val="TableContents"/>
              <w:bidi w:val="0"/>
              <w:spacing w:before="0" w:after="283"/>
              <w:jc w:val="left"/>
              <w:rPr/>
            </w:pPr>
            <w:r>
              <w:rPr/>
              <w:t>Administrator Manual</w:t>
            </w:r>
          </w:p>
        </w:tc>
      </w:tr>
      <w:tr>
        <w:trPr/>
        <w:tc>
          <w:tcPr>
            <w:tcW w:w="1724" w:type="dxa"/>
            <w:tcBorders/>
            <w:vAlign w:val="center"/>
          </w:tcPr>
          <w:p>
            <w:pPr>
              <w:pStyle w:val="TableContents"/>
              <w:bidi w:val="0"/>
              <w:spacing w:before="0" w:after="283"/>
              <w:jc w:val="left"/>
              <w:rPr>
                <w:b/>
              </w:rPr>
            </w:pPr>
            <w:r>
              <w:rPr>
                <w:b/>
              </w:rPr>
              <w:t>Purpose:</w:t>
            </w:r>
          </w:p>
        </w:tc>
        <w:tc>
          <w:tcPr>
            <w:tcW w:w="9615" w:type="dxa"/>
            <w:tcBorders/>
            <w:vAlign w:val="center"/>
          </w:tcPr>
          <w:p>
            <w:pPr>
              <w:pStyle w:val="TableContents"/>
              <w:bidi w:val="0"/>
              <w:spacing w:before="0" w:after="283"/>
              <w:jc w:val="left"/>
              <w:rPr/>
            </w:pPr>
            <w:r>
              <w:rPr/>
              <w:t>Provides administration instructions</w:t>
            </w:r>
          </w:p>
        </w:tc>
      </w:tr>
      <w:tr>
        <w:trPr/>
        <w:tc>
          <w:tcPr>
            <w:tcW w:w="1724" w:type="dxa"/>
            <w:tcBorders/>
            <w:vAlign w:val="center"/>
          </w:tcPr>
          <w:p>
            <w:pPr>
              <w:pStyle w:val="TableContents"/>
              <w:bidi w:val="0"/>
              <w:spacing w:before="0" w:after="283"/>
              <w:jc w:val="left"/>
              <w:rPr>
                <w:b/>
              </w:rPr>
            </w:pPr>
            <w:r>
              <w:rPr>
                <w:b/>
              </w:rPr>
              <w:t>Version:</w:t>
            </w:r>
          </w:p>
        </w:tc>
        <w:tc>
          <w:tcPr>
            <w:tcW w:w="9615" w:type="dxa"/>
            <w:tcBorders/>
            <w:vAlign w:val="center"/>
          </w:tcPr>
          <w:p>
            <w:pPr>
              <w:pStyle w:val="TableContents"/>
              <w:bidi w:val="0"/>
              <w:spacing w:before="0" w:after="283"/>
              <w:jc w:val="left"/>
              <w:rPr/>
            </w:pPr>
            <w:r>
              <w:rPr/>
              <w:t>1.0 (Draft)</w:t>
            </w:r>
          </w:p>
        </w:tc>
      </w:tr>
      <w:tr>
        <w:trPr/>
        <w:tc>
          <w:tcPr>
            <w:tcW w:w="1724" w:type="dxa"/>
            <w:tcBorders/>
            <w:vAlign w:val="center"/>
          </w:tcPr>
          <w:p>
            <w:pPr>
              <w:pStyle w:val="TableContents"/>
              <w:bidi w:val="0"/>
              <w:spacing w:before="0" w:after="283"/>
              <w:jc w:val="left"/>
              <w:rPr>
                <w:b/>
              </w:rPr>
            </w:pPr>
            <w:r>
              <w:rPr>
                <w:b/>
              </w:rPr>
              <w:t>Date:</w:t>
            </w:r>
          </w:p>
        </w:tc>
        <w:tc>
          <w:tcPr>
            <w:tcW w:w="9615" w:type="dxa"/>
            <w:tcBorders/>
            <w:vAlign w:val="center"/>
          </w:tcPr>
          <w:p>
            <w:pPr>
              <w:pStyle w:val="TableContents"/>
              <w:bidi w:val="0"/>
              <w:spacing w:before="0" w:after="283"/>
              <w:jc w:val="left"/>
              <w:rPr/>
            </w:pPr>
            <w:r>
              <w:rPr/>
              <w:t>18 August 2026</w:t>
            </w:r>
          </w:p>
        </w:tc>
      </w:tr>
      <w:tr>
        <w:trPr/>
        <w:tc>
          <w:tcPr>
            <w:tcW w:w="1724" w:type="dxa"/>
            <w:tcBorders/>
            <w:vAlign w:val="center"/>
          </w:tcPr>
          <w:p>
            <w:pPr>
              <w:pStyle w:val="TableContents"/>
              <w:bidi w:val="0"/>
              <w:spacing w:before="0" w:after="283"/>
              <w:jc w:val="left"/>
              <w:rPr>
                <w:b/>
              </w:rPr>
            </w:pPr>
            <w:r>
              <w:rPr>
                <w:b/>
              </w:rPr>
              <w:t>Prepared by:</w:t>
            </w:r>
          </w:p>
        </w:tc>
        <w:tc>
          <w:tcPr>
            <w:tcW w:w="9615" w:type="dxa"/>
            <w:tcBorders/>
            <w:vAlign w:val="center"/>
          </w:tcPr>
          <w:p>
            <w:pPr>
              <w:pStyle w:val="TableContents"/>
              <w:bidi w:val="0"/>
              <w:spacing w:before="0" w:after="283"/>
              <w:jc w:val="left"/>
              <w:rPr/>
            </w:pPr>
            <w:r>
              <w:rPr/>
              <w:t>Obeke Godfrey, Director</w:t>
            </w:r>
          </w:p>
        </w:tc>
      </w:tr>
      <w:tr>
        <w:trPr/>
        <w:tc>
          <w:tcPr>
            <w:tcW w:w="1724" w:type="dxa"/>
            <w:tcBorders/>
            <w:vAlign w:val="center"/>
          </w:tcPr>
          <w:p>
            <w:pPr>
              <w:pStyle w:val="TableContents"/>
              <w:bidi w:val="0"/>
              <w:spacing w:before="0" w:after="283"/>
              <w:jc w:val="left"/>
              <w:rPr>
                <w:b/>
              </w:rPr>
            </w:pPr>
            <w:r>
              <w:rPr>
                <w:b/>
              </w:rPr>
              <w:t>Prepared for:</w:t>
            </w:r>
          </w:p>
        </w:tc>
        <w:tc>
          <w:tcPr>
            <w:tcW w:w="9615" w:type="dxa"/>
            <w:tcBorders/>
            <w:vAlign w:val="center"/>
          </w:tcPr>
          <w:p>
            <w:pPr>
              <w:pStyle w:val="TableContents"/>
              <w:bidi w:val="0"/>
              <w:spacing w:before="0" w:after="283"/>
              <w:jc w:val="left"/>
              <w:rPr/>
            </w:pPr>
            <w:r>
              <w:rPr/>
              <w:t>IT Administrator, Development Team / Technology Partner</w:t>
            </w:r>
          </w:p>
        </w:tc>
      </w:tr>
      <w:tr>
        <w:trPr/>
        <w:tc>
          <w:tcPr>
            <w:tcW w:w="1724" w:type="dxa"/>
            <w:tcBorders/>
            <w:vAlign w:val="center"/>
          </w:tcPr>
          <w:p>
            <w:pPr>
              <w:pStyle w:val="TableContents"/>
              <w:bidi w:val="0"/>
              <w:spacing w:before="0" w:after="283"/>
              <w:jc w:val="left"/>
              <w:rPr>
                <w:b/>
              </w:rPr>
            </w:pPr>
            <w:r>
              <w:rPr>
                <w:b/>
              </w:rPr>
              <w:t>Related documents:</w:t>
            </w:r>
          </w:p>
        </w:tc>
        <w:tc>
          <w:tcPr>
            <w:tcW w:w="9615" w:type="dxa"/>
            <w:tcBorders/>
            <w:vAlign w:val="center"/>
          </w:tcPr>
          <w:p>
            <w:pPr>
              <w:pStyle w:val="TableContents"/>
              <w:bidi w:val="0"/>
              <w:spacing w:before="0" w:after="283"/>
              <w:jc w:val="left"/>
              <w:rPr/>
            </w:pPr>
            <w:r>
              <w:rPr/>
              <w:t>07_System Design Document (v2.0); 08_Database Design Document; 09_API Specification; 10_Test Plan; 11_Deployment Plan; 13_Alpha Test Plan; 14_User Manual</w:t>
            </w:r>
          </w:p>
        </w:tc>
      </w:tr>
    </w:tbl>
    <w:p>
      <w:pPr>
        <w:pStyle w:val="Heading2"/>
        <w:bidi w:val="0"/>
        <w:jc w:val="left"/>
        <w:rPr/>
      </w:pPr>
      <w:r>
        <w:rPr/>
        <w:t>1. Purpose and Audience</w:t>
      </w:r>
    </w:p>
    <w:p>
      <w:pPr>
        <w:pStyle w:val="BodyText"/>
        <w:bidi w:val="0"/>
        <w:jc w:val="left"/>
        <w:rPr/>
      </w:pPr>
      <w:r>
        <w:rPr/>
        <w:t xml:space="preserve">14_User Manual covers day-to-day business use, including the business-administration tasks any Super Administrator or IT Administrator performs in the ordinary course of running the Group (creating companies, users, roles). This manual is different: it is for whoever </w:t>
      </w:r>
      <w:r>
        <w:rPr>
          <w:b/>
        </w:rPr>
        <w:t>operates</w:t>
      </w:r>
      <w:r>
        <w:rPr/>
        <w:t xml:space="preserve"> the system itself — the IT Administrator and the engaged development team/technology partner — and covers what the User Manual does not: infrastructure, monitoring, incident response, backups, releases, and security administration.</w:t>
      </w:r>
    </w:p>
    <w:p>
      <w:pPr>
        <w:pStyle w:val="BodyText"/>
        <w:bidi w:val="0"/>
        <w:spacing w:before="150" w:after="150"/>
        <w:ind w:hanging="0" w:left="150" w:right="150"/>
        <w:jc w:val="left"/>
        <w:rPr>
          <w:sz w:val="21"/>
          <w:bdr w:val="single" w:sz="24" w:space="9" w:color="D98C00"/>
          <w:shd w:fill="FFF4E5" w:val="clear"/>
        </w:rPr>
      </w:pPr>
      <w:r>
        <w:rPr>
          <w:b/>
          <w:sz w:val="21"/>
          <w:bdr w:val="single" w:sz="24" w:space="9" w:color="D98C00"/>
          <w:shd w:fill="FFF4E5" w:val="clear"/>
        </w:rPr>
        <w:t>Business-administration tasks are not repeated here.</w:t>
      </w:r>
      <w:r>
        <w:rPr>
          <w:sz w:val="21"/>
          <w:bdr w:val="single" w:sz="24" w:space="9" w:color="D98C00"/>
          <w:shd w:fill="FFF4E5" w:val="clear"/>
        </w:rPr>
        <w:t xml:space="preserve"> For creating companies/branches/departments, managing users and roles, and day-to-day account administration (lock/unlock, deactivate, password reset), see 14_User Manual, Sections 3.1–3.5. This manual assumes you already know those tasks and covers what happens underneath them.</w:t>
      </w:r>
    </w:p>
    <w:p>
      <w:pPr>
        <w:pStyle w:val="Heading2"/>
        <w:bidi w:val="0"/>
        <w:jc w:val="left"/>
        <w:rPr/>
      </w:pPr>
      <w:r>
        <w:rPr/>
        <w:t>2. System Overview for Administrators</w:t>
      </w:r>
    </w:p>
    <w:p>
      <w:pPr>
        <w:pStyle w:val="BodyText"/>
        <w:bidi w:val="0"/>
        <w:jc w:val="left"/>
        <w:rPr/>
      </w:pPr>
      <w:r>
        <w:rPr/>
        <w:t>MBMS Phase 1 is eight independently deployable microservices plus an API Gateway (07_System Design Document, v2.0, Section 3): Identity, Organization, Employee, Customer, Supplier, Product, Accounting, and Audit &amp; Reporting. Each owns its own PostgreSQL database; they communicate with clients via REST through the Gateway and with each other asynchronously via Kafka. There is no single "the database" or "the application" — administration means operating eight related but independent systems as one coherent whole.</w:t>
      </w:r>
    </w:p>
    <w:p>
      <w:pPr>
        <w:pStyle w:val="Heading2"/>
        <w:bidi w:val="0"/>
        <w:jc w:val="left"/>
        <w:rPr/>
      </w:pPr>
      <w:r>
        <w:rPr/>
        <w:t>3. Environments</w:t>
      </w:r>
    </w:p>
    <w:tbl>
      <w:tblPr>
        <w:tblW w:w="11339" w:type="dxa"/>
        <w:jc w:val="left"/>
        <w:tblInd w:w="28" w:type="dxa"/>
        <w:tblLayout w:type="fixed"/>
        <w:tblCellMar>
          <w:top w:w="28" w:type="dxa"/>
          <w:left w:w="28" w:type="dxa"/>
          <w:bottom w:w="28" w:type="dxa"/>
          <w:right w:w="28" w:type="dxa"/>
        </w:tblCellMar>
      </w:tblPr>
      <w:tblGrid>
        <w:gridCol w:w="1385"/>
        <w:gridCol w:w="4785"/>
        <w:gridCol w:w="5169"/>
      </w:tblGrid>
      <w:tr>
        <w:trPr/>
        <w:tc>
          <w:tcPr>
            <w:tcW w:w="1385" w:type="dxa"/>
            <w:tcBorders/>
            <w:vAlign w:val="center"/>
          </w:tcPr>
          <w:p>
            <w:pPr>
              <w:pStyle w:val="TableHeading"/>
              <w:suppressLineNumbers/>
              <w:shd w:fill="1F3864" w:val="clear"/>
              <w:bidi w:val="0"/>
              <w:spacing w:before="0" w:after="283"/>
              <w:jc w:val="left"/>
              <w:rPr/>
            </w:pPr>
            <w:r>
              <w:rPr/>
              <w:t>Environment</w:t>
            </w:r>
          </w:p>
        </w:tc>
        <w:tc>
          <w:tcPr>
            <w:tcW w:w="4785" w:type="dxa"/>
            <w:tcBorders/>
            <w:vAlign w:val="center"/>
          </w:tcPr>
          <w:p>
            <w:pPr>
              <w:pStyle w:val="TableHeading"/>
              <w:suppressLineNumbers/>
              <w:shd w:fill="1F3864" w:val="clear"/>
              <w:bidi w:val="0"/>
              <w:spacing w:before="0" w:after="283"/>
              <w:jc w:val="left"/>
              <w:rPr/>
            </w:pPr>
            <w:r>
              <w:rPr/>
              <w:t>Purpose</w:t>
            </w:r>
          </w:p>
        </w:tc>
        <w:tc>
          <w:tcPr>
            <w:tcW w:w="5169" w:type="dxa"/>
            <w:tcBorders/>
            <w:vAlign w:val="center"/>
          </w:tcPr>
          <w:p>
            <w:pPr>
              <w:pStyle w:val="TableHeading"/>
              <w:suppressLineNumbers/>
              <w:shd w:fill="1F3864" w:val="clear"/>
              <w:bidi w:val="0"/>
              <w:spacing w:before="0" w:after="283"/>
              <w:jc w:val="left"/>
              <w:rPr/>
            </w:pPr>
            <w:r>
              <w:rPr/>
              <w:t>Who Has Access</w:t>
            </w:r>
          </w:p>
        </w:tc>
      </w:tr>
      <w:tr>
        <w:trPr/>
        <w:tc>
          <w:tcPr>
            <w:tcW w:w="1385" w:type="dxa"/>
            <w:tcBorders/>
            <w:vAlign w:val="center"/>
          </w:tcPr>
          <w:p>
            <w:pPr>
              <w:pStyle w:val="TableContents"/>
              <w:bidi w:val="0"/>
              <w:spacing w:before="0" w:after="283"/>
              <w:jc w:val="left"/>
              <w:rPr/>
            </w:pPr>
            <w:r>
              <w:rPr/>
              <w:t>Development</w:t>
            </w:r>
          </w:p>
        </w:tc>
        <w:tc>
          <w:tcPr>
            <w:tcW w:w="4785" w:type="dxa"/>
            <w:tcBorders/>
            <w:vAlign w:val="center"/>
          </w:tcPr>
          <w:p>
            <w:pPr>
              <w:pStyle w:val="TableContents"/>
              <w:bidi w:val="0"/>
              <w:spacing w:before="0" w:after="283"/>
              <w:jc w:val="left"/>
              <w:rPr/>
            </w:pPr>
            <w:r>
              <w:rPr/>
              <w:t>Developer testing, CI pipelines</w:t>
            </w:r>
          </w:p>
        </w:tc>
        <w:tc>
          <w:tcPr>
            <w:tcW w:w="5169" w:type="dxa"/>
            <w:tcBorders/>
            <w:vAlign w:val="center"/>
          </w:tcPr>
          <w:p>
            <w:pPr>
              <w:pStyle w:val="TableContents"/>
              <w:bidi w:val="0"/>
              <w:spacing w:before="0" w:after="283"/>
              <w:jc w:val="left"/>
              <w:rPr/>
            </w:pPr>
            <w:r>
              <w:rPr/>
              <w:t>Development team</w:t>
            </w:r>
          </w:p>
        </w:tc>
      </w:tr>
      <w:tr>
        <w:trPr/>
        <w:tc>
          <w:tcPr>
            <w:tcW w:w="1385" w:type="dxa"/>
            <w:tcBorders/>
            <w:vAlign w:val="center"/>
          </w:tcPr>
          <w:p>
            <w:pPr>
              <w:pStyle w:val="TableContents"/>
              <w:bidi w:val="0"/>
              <w:spacing w:before="0" w:after="283"/>
              <w:jc w:val="left"/>
              <w:rPr/>
            </w:pPr>
            <w:r>
              <w:rPr/>
              <w:t>Staging</w:t>
            </w:r>
          </w:p>
        </w:tc>
        <w:tc>
          <w:tcPr>
            <w:tcW w:w="4785" w:type="dxa"/>
            <w:tcBorders/>
            <w:vAlign w:val="center"/>
          </w:tcPr>
          <w:p>
            <w:pPr>
              <w:pStyle w:val="TableContents"/>
              <w:bidi w:val="0"/>
              <w:spacing w:before="0" w:after="283"/>
              <w:jc w:val="left"/>
              <w:rPr/>
            </w:pPr>
            <w:r>
              <w:rPr/>
              <w:t>Contract/system/security/performance testing, Alpha testing, UAT (10_Test Plan; 13_Alpha Test Plan; 12_UAT Plan)</w:t>
            </w:r>
          </w:p>
        </w:tc>
        <w:tc>
          <w:tcPr>
            <w:tcW w:w="5169" w:type="dxa"/>
            <w:tcBorders/>
            <w:vAlign w:val="center"/>
          </w:tcPr>
          <w:p>
            <w:pPr>
              <w:pStyle w:val="TableContents"/>
              <w:bidi w:val="0"/>
              <w:spacing w:before="0" w:after="283"/>
              <w:jc w:val="left"/>
              <w:rPr/>
            </w:pPr>
            <w:r>
              <w:rPr/>
              <w:t>Development team, IT Administrator, UAT participants (scoped accounts only)</w:t>
            </w:r>
          </w:p>
        </w:tc>
      </w:tr>
      <w:tr>
        <w:trPr/>
        <w:tc>
          <w:tcPr>
            <w:tcW w:w="1385" w:type="dxa"/>
            <w:tcBorders/>
            <w:vAlign w:val="center"/>
          </w:tcPr>
          <w:p>
            <w:pPr>
              <w:pStyle w:val="TableContents"/>
              <w:bidi w:val="0"/>
              <w:spacing w:before="0" w:after="283"/>
              <w:jc w:val="left"/>
              <w:rPr/>
            </w:pPr>
            <w:r>
              <w:rPr/>
              <w:t>Production</w:t>
            </w:r>
          </w:p>
        </w:tc>
        <w:tc>
          <w:tcPr>
            <w:tcW w:w="4785" w:type="dxa"/>
            <w:tcBorders/>
            <w:vAlign w:val="center"/>
          </w:tcPr>
          <w:p>
            <w:pPr>
              <w:pStyle w:val="TableContents"/>
              <w:bidi w:val="0"/>
              <w:spacing w:before="0" w:after="283"/>
              <w:jc w:val="left"/>
              <w:rPr/>
            </w:pPr>
            <w:r>
              <w:rPr/>
              <w:t>Live Group data</w:t>
            </w:r>
          </w:p>
        </w:tc>
        <w:tc>
          <w:tcPr>
            <w:tcW w:w="5169" w:type="dxa"/>
            <w:tcBorders/>
            <w:vAlign w:val="center"/>
          </w:tcPr>
          <w:p>
            <w:pPr>
              <w:pStyle w:val="TableContents"/>
              <w:bidi w:val="0"/>
              <w:spacing w:before="0" w:after="283"/>
              <w:jc w:val="left"/>
              <w:rPr/>
            </w:pPr>
            <w:r>
              <w:rPr/>
              <w:t>IT Administrator and the deployment pipeline only — no ad hoc manual access (07_System Design Document, Section 12)</w:t>
            </w:r>
          </w:p>
        </w:tc>
      </w:tr>
    </w:tbl>
    <w:p>
      <w:pPr>
        <w:pStyle w:val="Heading2"/>
        <w:bidi w:val="0"/>
        <w:jc w:val="left"/>
        <w:rPr/>
      </w:pPr>
      <w:r>
        <w:rPr/>
        <w:t>4. User and Access Administration (Beyond the User Manual)</w:t>
      </w:r>
    </w:p>
    <w:p>
      <w:pPr>
        <w:pStyle w:val="BodyText"/>
        <w:numPr>
          <w:ilvl w:val="0"/>
          <w:numId w:val="1"/>
        </w:numPr>
        <w:tabs>
          <w:tab w:val="clear" w:pos="1134"/>
          <w:tab w:val="left" w:pos="709" w:leader="none"/>
        </w:tabs>
        <w:bidi w:val="0"/>
        <w:spacing w:before="0" w:after="0"/>
        <w:ind w:hanging="283" w:left="709"/>
        <w:jc w:val="left"/>
        <w:rPr/>
      </w:pPr>
      <w:r>
        <w:rPr>
          <w:b/>
        </w:rPr>
        <w:t>Offboarding:</w:t>
      </w:r>
      <w:r>
        <w:rPr/>
        <w:t xml:space="preserve"> when an employee leaves, deactivate their user account (14_User Manual, Section 3.4) — do not delete it. Deactivation immediately revokes access while preserving their audit history (BR-06). Also review and remove any </w:t>
      </w:r>
      <w:r>
        <w:rPr>
          <w:rStyle w:val="SourceText"/>
        </w:rPr>
        <w:t>user_scopes</w:t>
      </w:r>
      <w:r>
        <w:rPr/>
        <w:t xml:space="preserve"> entries that were unusually broad, as part of periodic access review below. </w:t>
      </w:r>
    </w:p>
    <w:p>
      <w:pPr>
        <w:pStyle w:val="BodyText"/>
        <w:numPr>
          <w:ilvl w:val="0"/>
          <w:numId w:val="1"/>
        </w:numPr>
        <w:tabs>
          <w:tab w:val="clear" w:pos="1134"/>
          <w:tab w:val="left" w:pos="709" w:leader="none"/>
        </w:tabs>
        <w:bidi w:val="0"/>
        <w:spacing w:before="0" w:after="0"/>
        <w:ind w:hanging="283" w:left="709"/>
        <w:jc w:val="left"/>
        <w:rPr/>
      </w:pPr>
      <w:r>
        <w:rPr>
          <w:b/>
        </w:rPr>
        <w:t>Periodic access review:</w:t>
      </w:r>
      <w:r>
        <w:rPr/>
        <w:t xml:space="preserve"> quarterly, review the Identity Service's user and role assignments for anyone with Group-wide scope who no longer needs it, and any account that has been inactive for an extended period — lock or deactivate as appropriate. </w:t>
      </w:r>
    </w:p>
    <w:p>
      <w:pPr>
        <w:pStyle w:val="BodyText"/>
        <w:numPr>
          <w:ilvl w:val="0"/>
          <w:numId w:val="1"/>
        </w:numPr>
        <w:tabs>
          <w:tab w:val="clear" w:pos="1134"/>
          <w:tab w:val="left" w:pos="709" w:leader="none"/>
        </w:tabs>
        <w:bidi w:val="0"/>
        <w:spacing w:before="0" w:after="0"/>
        <w:ind w:hanging="283" w:left="709"/>
        <w:jc w:val="left"/>
        <w:rPr/>
      </w:pPr>
      <w:r>
        <w:rPr>
          <w:b/>
        </w:rPr>
        <w:t>Role/permission catalogue changes:</w:t>
      </w:r>
      <w:r>
        <w:rPr/>
        <w:t xml:space="preserve"> the role catalogue is seeded from 04_Software Requirements Specification, Section 2.3 at deployment (08_Database Design Document, Section 14). Adding a new permission requires a code change (a new permission code recognized by the relevant service's authorization checks), not just a database edit — do not insert permission rows directly into the database, since the service enforcing that permission will not recognize a code it wasn't built to check. </w:t>
      </w:r>
    </w:p>
    <w:p>
      <w:pPr>
        <w:pStyle w:val="BodyText"/>
        <w:numPr>
          <w:ilvl w:val="0"/>
          <w:numId w:val="1"/>
        </w:numPr>
        <w:tabs>
          <w:tab w:val="clear" w:pos="1134"/>
          <w:tab w:val="left" w:pos="709" w:leader="none"/>
        </w:tabs>
        <w:bidi w:val="0"/>
        <w:ind w:hanging="283" w:left="709"/>
        <w:jc w:val="left"/>
        <w:rPr/>
      </w:pPr>
      <w:r>
        <w:rPr>
          <w:b/>
        </w:rPr>
        <w:t>Locked accounts:</w:t>
      </w:r>
      <w:r>
        <w:rPr/>
        <w:t xml:space="preserve"> an account locks automatically after repeated failed logins (FR-AUTH-06). Before unlocking, confirm with the user that the failed attempts were their own — repeated failures from an unfamiliar IP address (visible in the audit trail, Section 9) may indicate a credential-guessing attempt rather than a forgotten password. </w:t>
      </w:r>
    </w:p>
    <w:p>
      <w:pPr>
        <w:pStyle w:val="Heading2"/>
        <w:bidi w:val="0"/>
        <w:jc w:val="left"/>
        <w:rPr/>
      </w:pPr>
      <w:r>
        <w:rPr/>
        <w:t>5. Monitoring and Health Checks</w:t>
      </w:r>
    </w:p>
    <w:p>
      <w:pPr>
        <w:pStyle w:val="BodyText"/>
        <w:bidi w:val="0"/>
        <w:jc w:val="left"/>
        <w:rPr/>
      </w:pPr>
      <w:r>
        <w:rPr/>
        <w:t>Per 07_System Design Document, Section 8, the full observability stack is Phase 1 infrastructure, not an optional extra:</w:t>
      </w:r>
    </w:p>
    <w:tbl>
      <w:tblPr>
        <w:tblW w:w="11339" w:type="dxa"/>
        <w:jc w:val="left"/>
        <w:tblInd w:w="28" w:type="dxa"/>
        <w:tblLayout w:type="fixed"/>
        <w:tblCellMar>
          <w:top w:w="28" w:type="dxa"/>
          <w:left w:w="28" w:type="dxa"/>
          <w:bottom w:w="28" w:type="dxa"/>
          <w:right w:w="28" w:type="dxa"/>
        </w:tblCellMar>
      </w:tblPr>
      <w:tblGrid>
        <w:gridCol w:w="2774"/>
        <w:gridCol w:w="8565"/>
      </w:tblGrid>
      <w:tr>
        <w:trPr/>
        <w:tc>
          <w:tcPr>
            <w:tcW w:w="2774" w:type="dxa"/>
            <w:tcBorders/>
            <w:vAlign w:val="center"/>
          </w:tcPr>
          <w:p>
            <w:pPr>
              <w:pStyle w:val="TableHeading"/>
              <w:suppressLineNumbers/>
              <w:shd w:fill="1F3864" w:val="clear"/>
              <w:bidi w:val="0"/>
              <w:spacing w:before="0" w:after="283"/>
              <w:jc w:val="left"/>
              <w:rPr/>
            </w:pPr>
            <w:r>
              <w:rPr/>
              <w:t>Tool</w:t>
            </w:r>
          </w:p>
        </w:tc>
        <w:tc>
          <w:tcPr>
            <w:tcW w:w="8565" w:type="dxa"/>
            <w:tcBorders/>
            <w:vAlign w:val="center"/>
          </w:tcPr>
          <w:p>
            <w:pPr>
              <w:pStyle w:val="TableHeading"/>
              <w:suppressLineNumbers/>
              <w:shd w:fill="1F3864" w:val="clear"/>
              <w:bidi w:val="0"/>
              <w:spacing w:before="0" w:after="283"/>
              <w:jc w:val="left"/>
              <w:rPr/>
            </w:pPr>
            <w:r>
              <w:rPr/>
              <w:t>What to Check, and How Often</w:t>
            </w:r>
          </w:p>
        </w:tc>
      </w:tr>
      <w:tr>
        <w:trPr/>
        <w:tc>
          <w:tcPr>
            <w:tcW w:w="2774" w:type="dxa"/>
            <w:tcBorders/>
            <w:vAlign w:val="center"/>
          </w:tcPr>
          <w:p>
            <w:pPr>
              <w:pStyle w:val="TableContents"/>
              <w:bidi w:val="0"/>
              <w:spacing w:before="0" w:after="283"/>
              <w:jc w:val="left"/>
              <w:rPr/>
            </w:pPr>
            <w:r>
              <w:rPr/>
              <w:t>Prometheus / Grafana</w:t>
            </w:r>
          </w:p>
        </w:tc>
        <w:tc>
          <w:tcPr>
            <w:tcW w:w="8565" w:type="dxa"/>
            <w:tcBorders/>
            <w:vAlign w:val="center"/>
          </w:tcPr>
          <w:p>
            <w:pPr>
              <w:pStyle w:val="TableContents"/>
              <w:bidi w:val="0"/>
              <w:spacing w:before="0" w:after="283"/>
              <w:jc w:val="left"/>
              <w:rPr/>
            </w:pPr>
            <w:r>
              <w:rPr/>
              <w:t>Daily: request rate, error rate and latency per service. A sustained error-rate spike on one service is the earliest signal of a problem, often before any user reports it.</w:t>
            </w:r>
          </w:p>
        </w:tc>
      </w:tr>
      <w:tr>
        <w:trPr/>
        <w:tc>
          <w:tcPr>
            <w:tcW w:w="2774" w:type="dxa"/>
            <w:tcBorders/>
            <w:vAlign w:val="center"/>
          </w:tcPr>
          <w:p>
            <w:pPr>
              <w:pStyle w:val="TableContents"/>
              <w:bidi w:val="0"/>
              <w:spacing w:before="0" w:after="283"/>
              <w:jc w:val="left"/>
              <w:rPr/>
            </w:pPr>
            <w:r>
              <w:rPr/>
              <w:t>Jaeger</w:t>
            </w:r>
          </w:p>
        </w:tc>
        <w:tc>
          <w:tcPr>
            <w:tcW w:w="8565" w:type="dxa"/>
            <w:tcBorders/>
            <w:vAlign w:val="center"/>
          </w:tcPr>
          <w:p>
            <w:pPr>
              <w:pStyle w:val="TableContents"/>
              <w:bidi w:val="0"/>
              <w:spacing w:before="0" w:after="283"/>
              <w:jc w:val="left"/>
              <w:rPr/>
            </w:pPr>
            <w:r>
              <w:rPr/>
              <w:t>When investigating a specific reported issue: trace the affected request across the Gateway and services to see exactly where time was spent or where it failed.</w:t>
            </w:r>
          </w:p>
        </w:tc>
      </w:tr>
      <w:tr>
        <w:trPr/>
        <w:tc>
          <w:tcPr>
            <w:tcW w:w="2774" w:type="dxa"/>
            <w:tcBorders/>
            <w:vAlign w:val="center"/>
          </w:tcPr>
          <w:p>
            <w:pPr>
              <w:pStyle w:val="TableContents"/>
              <w:bidi w:val="0"/>
              <w:spacing w:before="0" w:after="283"/>
              <w:jc w:val="left"/>
              <w:rPr/>
            </w:pPr>
            <w:r>
              <w:rPr/>
              <w:t>EFK Stack</w:t>
            </w:r>
          </w:p>
        </w:tc>
        <w:tc>
          <w:tcPr>
            <w:tcW w:w="8565" w:type="dxa"/>
            <w:tcBorders/>
            <w:vAlign w:val="center"/>
          </w:tcPr>
          <w:p>
            <w:pPr>
              <w:pStyle w:val="TableContents"/>
              <w:bidi w:val="0"/>
              <w:spacing w:before="0" w:after="283"/>
              <w:jc w:val="left"/>
              <w:rPr/>
            </w:pPr>
            <w:r>
              <w:rPr/>
              <w:t>When investigating: search logs across all eight services in one place by request ID, user ID, or company ID, rather than checking each service's logs individually.</w:t>
            </w:r>
          </w:p>
        </w:tc>
      </w:tr>
      <w:tr>
        <w:trPr/>
        <w:tc>
          <w:tcPr>
            <w:tcW w:w="2774" w:type="dxa"/>
            <w:tcBorders/>
            <w:vAlign w:val="center"/>
          </w:tcPr>
          <w:p>
            <w:pPr>
              <w:pStyle w:val="TableContents"/>
              <w:bidi w:val="0"/>
              <w:spacing w:before="0" w:after="283"/>
              <w:jc w:val="left"/>
              <w:rPr/>
            </w:pPr>
            <w:r>
              <w:rPr/>
              <w:t>Kafka consumer lag (Audit &amp; Reporting Service)</w:t>
            </w:r>
          </w:p>
        </w:tc>
        <w:tc>
          <w:tcPr>
            <w:tcW w:w="8565" w:type="dxa"/>
            <w:tcBorders/>
            <w:vAlign w:val="center"/>
          </w:tcPr>
          <w:p>
            <w:pPr>
              <w:pStyle w:val="TableContents"/>
              <w:bidi w:val="0"/>
              <w:spacing w:before="0" w:after="283"/>
              <w:jc w:val="left"/>
              <w:rPr/>
            </w:pPr>
            <w:r>
              <w:rPr/>
              <w:t>Weekly, and immediately after any incident: growing lag means the audit trail and dashboards are falling behind real system activity (08_Database Design Document, Section 13).</w:t>
            </w:r>
          </w:p>
        </w:tc>
      </w:tr>
    </w:tbl>
    <w:p>
      <w:pPr>
        <w:pStyle w:val="Heading2"/>
        <w:bidi w:val="0"/>
        <w:jc w:val="left"/>
        <w:rPr/>
      </w:pPr>
      <w:r>
        <w:rPr/>
        <w:t>6. Backup and Restore</w:t>
      </w:r>
    </w:p>
    <w:p>
      <w:pPr>
        <w:pStyle w:val="BodyText"/>
        <w:numPr>
          <w:ilvl w:val="0"/>
          <w:numId w:val="2"/>
        </w:numPr>
        <w:tabs>
          <w:tab w:val="clear" w:pos="1134"/>
          <w:tab w:val="left" w:pos="709" w:leader="none"/>
        </w:tabs>
        <w:bidi w:val="0"/>
        <w:spacing w:before="0" w:after="0"/>
        <w:ind w:hanging="283" w:left="709"/>
        <w:jc w:val="left"/>
        <w:rPr/>
      </w:pPr>
      <w:r>
        <w:rPr/>
        <w:t xml:space="preserve">Each service's PostgreSQL database is backed up automatically on a daily schedule (NFR-06). Confirm backups are actually completing — a scheduled backup that silently fails is worse than no backup, because it creates false confidence. </w:t>
      </w:r>
    </w:p>
    <w:p>
      <w:pPr>
        <w:pStyle w:val="BodyText"/>
        <w:numPr>
          <w:ilvl w:val="0"/>
          <w:numId w:val="2"/>
        </w:numPr>
        <w:tabs>
          <w:tab w:val="clear" w:pos="1134"/>
          <w:tab w:val="left" w:pos="709" w:leader="none"/>
        </w:tabs>
        <w:bidi w:val="0"/>
        <w:spacing w:before="0" w:after="0"/>
        <w:ind w:hanging="283" w:left="709"/>
        <w:jc w:val="left"/>
        <w:rPr/>
      </w:pPr>
      <w:r>
        <w:rPr/>
        <w:t xml:space="preserve">Restoration was verified before go-live (10_Test Plan, TC-027) and again during Alpha testing (13_Alpha Test Plan, Section 5.3). Re-verify restoration periodically (recommended: quarterly) against a non-production instance, not only once at launch. </w:t>
      </w:r>
    </w:p>
    <w:p>
      <w:pPr>
        <w:pStyle w:val="BodyText"/>
        <w:numPr>
          <w:ilvl w:val="0"/>
          <w:numId w:val="2"/>
        </w:numPr>
        <w:tabs>
          <w:tab w:val="clear" w:pos="1134"/>
          <w:tab w:val="left" w:pos="709" w:leader="none"/>
        </w:tabs>
        <w:bidi w:val="0"/>
        <w:ind w:hanging="283" w:left="709"/>
        <w:jc w:val="left"/>
        <w:rPr/>
      </w:pPr>
      <w:r>
        <w:rPr/>
        <w:t xml:space="preserve">Financial data (Accounting Service) is never restored by overwriting recent transactions without Finance Manager sign-off — a restore that would roll back posted journal entries is a Finance decision, not solely a technical one. </w:t>
      </w:r>
    </w:p>
    <w:p>
      <w:pPr>
        <w:pStyle w:val="Heading2"/>
        <w:bidi w:val="0"/>
        <w:jc w:val="left"/>
        <w:rPr/>
      </w:pPr>
      <w:r>
        <w:rPr/>
        <w:t>7. Incident Response Runbooks</w:t>
      </w:r>
    </w:p>
    <w:p>
      <w:pPr>
        <w:pStyle w:val="BodyText"/>
        <w:bidi w:val="0"/>
        <w:jc w:val="left"/>
        <w:rPr/>
      </w:pPr>
      <w:r>
        <w:rPr/>
        <w:t>These procedures were exercised and confirmed during Alpha testing (13_Alpha Test Plan, Section 5.3) before go-live — they are not untested theory.</w:t>
      </w:r>
    </w:p>
    <w:p>
      <w:pPr>
        <w:pStyle w:val="Heading3"/>
        <w:bidi w:val="0"/>
        <w:jc w:val="left"/>
        <w:rPr/>
      </w:pPr>
      <w:r>
        <w:rPr/>
        <w:t>7.1 A Service Is Down or Unhealthy</w:t>
      </w:r>
    </w:p>
    <w:p>
      <w:pPr>
        <w:pStyle w:val="BodyText"/>
        <w:numPr>
          <w:ilvl w:val="0"/>
          <w:numId w:val="3"/>
        </w:numPr>
        <w:tabs>
          <w:tab w:val="clear" w:pos="1134"/>
          <w:tab w:val="left" w:pos="829" w:leader="none"/>
        </w:tabs>
        <w:bidi w:val="0"/>
        <w:spacing w:before="120" w:after="120"/>
        <w:ind w:hanging="283" w:left="829" w:right="120"/>
        <w:jc w:val="left"/>
        <w:rPr>
          <w:bdr w:val="single" w:sz="2" w:space="8" w:color="C7D3E8"/>
          <w:shd w:fill="F2F5FA" w:val="clear"/>
        </w:rPr>
      </w:pPr>
      <w:r>
        <w:rPr>
          <w:bdr w:val="single" w:sz="2" w:space="8" w:color="C7D3E8"/>
          <w:shd w:fill="F2F5FA" w:val="clear"/>
        </w:rPr>
        <w:t xml:space="preserve">Check Grafana for which service is failing health checks. </w:t>
      </w:r>
    </w:p>
    <w:p>
      <w:pPr>
        <w:pStyle w:val="BodyText"/>
        <w:numPr>
          <w:ilvl w:val="0"/>
          <w:numId w:val="3"/>
        </w:numPr>
        <w:tabs>
          <w:tab w:val="clear" w:pos="1134"/>
          <w:tab w:val="left" w:pos="829" w:leader="none"/>
        </w:tabs>
        <w:bidi w:val="0"/>
        <w:spacing w:before="120" w:after="120"/>
        <w:ind w:hanging="283" w:left="829" w:right="120"/>
        <w:jc w:val="left"/>
        <w:rPr>
          <w:bdr w:val="single" w:sz="2" w:space="8" w:color="C7D3E8"/>
          <w:shd w:fill="F2F5FA" w:val="clear"/>
        </w:rPr>
      </w:pPr>
      <w:r>
        <w:rPr>
          <w:bdr w:val="single" w:sz="2" w:space="8" w:color="C7D3E8"/>
          <w:shd w:fill="F2F5FA" w:val="clear"/>
        </w:rPr>
        <w:t xml:space="preserve">ECS should already be restarting the failed task automatically — confirm this is happening rather than intervening immediately. </w:t>
      </w:r>
    </w:p>
    <w:p>
      <w:pPr>
        <w:pStyle w:val="BodyText"/>
        <w:numPr>
          <w:ilvl w:val="0"/>
          <w:numId w:val="3"/>
        </w:numPr>
        <w:tabs>
          <w:tab w:val="clear" w:pos="1134"/>
          <w:tab w:val="left" w:pos="829" w:leader="none"/>
        </w:tabs>
        <w:bidi w:val="0"/>
        <w:spacing w:before="120" w:after="120"/>
        <w:ind w:hanging="283" w:left="829" w:right="120"/>
        <w:jc w:val="left"/>
        <w:rPr>
          <w:bdr w:val="single" w:sz="2" w:space="8" w:color="C7D3E8"/>
          <w:shd w:fill="F2F5FA" w:val="clear"/>
        </w:rPr>
      </w:pPr>
      <w:r>
        <w:rPr>
          <w:bdr w:val="single" w:sz="2" w:space="8" w:color="C7D3E8"/>
          <w:shd w:fill="F2F5FA" w:val="clear"/>
        </w:rPr>
        <w:t xml:space="preserve">If the service does not recover automatically within a few minutes, check its logs (EFK) for the underlying cause before forcing a manual restart. </w:t>
      </w:r>
    </w:p>
    <w:p>
      <w:pPr>
        <w:pStyle w:val="BodyText"/>
        <w:numPr>
          <w:ilvl w:val="0"/>
          <w:numId w:val="3"/>
        </w:numPr>
        <w:tabs>
          <w:tab w:val="clear" w:pos="1134"/>
          <w:tab w:val="left" w:pos="829" w:leader="none"/>
        </w:tabs>
        <w:bidi w:val="0"/>
        <w:spacing w:before="120" w:after="120"/>
        <w:ind w:hanging="283" w:left="829" w:right="120"/>
        <w:jc w:val="left"/>
        <w:rPr>
          <w:bdr w:val="single" w:sz="2" w:space="8" w:color="C7D3E8"/>
          <w:shd w:fill="F2F5FA" w:val="clear"/>
        </w:rPr>
      </w:pPr>
      <w:r>
        <w:rPr>
          <w:bdr w:val="single" w:sz="2" w:space="8" w:color="C7D3E8"/>
          <w:shd w:fill="F2F5FA" w:val="clear"/>
        </w:rPr>
        <w:t xml:space="preserve">If the cause is a bad recent deployment, proceed to Section 7.2 (rollback) rather than continuing to restart the same broken version. </w:t>
      </w:r>
    </w:p>
    <w:p>
      <w:pPr>
        <w:pStyle w:val="Heading3"/>
        <w:bidi w:val="0"/>
        <w:ind w:hanging="0"/>
        <w:jc w:val="left"/>
        <w:rPr/>
      </w:pPr>
      <w:r>
        <w:rPr/>
        <w:t>7.2 Rolling Back a Bad Deployment</w:t>
      </w:r>
    </w:p>
    <w:p>
      <w:pPr>
        <w:pStyle w:val="BodyText"/>
        <w:numPr>
          <w:ilvl w:val="0"/>
          <w:numId w:val="4"/>
        </w:numPr>
        <w:tabs>
          <w:tab w:val="clear" w:pos="1134"/>
          <w:tab w:val="left" w:pos="829" w:leader="none"/>
        </w:tabs>
        <w:bidi w:val="0"/>
        <w:spacing w:before="120" w:after="120"/>
        <w:ind w:hanging="283" w:left="829" w:right="120"/>
        <w:jc w:val="left"/>
        <w:rPr>
          <w:bdr w:val="single" w:sz="2" w:space="8" w:color="C7D3E8"/>
          <w:shd w:fill="F2F5FA" w:val="clear"/>
        </w:rPr>
      </w:pPr>
      <w:r>
        <w:rPr>
          <w:bdr w:val="single" w:sz="2" w:space="8" w:color="C7D3E8"/>
          <w:shd w:fill="F2F5FA" w:val="clear"/>
        </w:rPr>
        <w:t xml:space="preserve">Identify the affected service and the last known-good image tag (via the CI/CD pipeline history, 11_Deployment Plan, Section 5). </w:t>
      </w:r>
    </w:p>
    <w:p>
      <w:pPr>
        <w:pStyle w:val="BodyText"/>
        <w:numPr>
          <w:ilvl w:val="0"/>
          <w:numId w:val="4"/>
        </w:numPr>
        <w:tabs>
          <w:tab w:val="clear" w:pos="1134"/>
          <w:tab w:val="left" w:pos="829" w:leader="none"/>
        </w:tabs>
        <w:bidi w:val="0"/>
        <w:spacing w:before="120" w:after="120"/>
        <w:ind w:hanging="283" w:left="829" w:right="120"/>
        <w:jc w:val="left"/>
        <w:rPr>
          <w:bdr w:val="single" w:sz="2" w:space="8" w:color="C7D3E8"/>
          <w:shd w:fill="F2F5FA" w:val="clear"/>
        </w:rPr>
      </w:pPr>
      <w:r>
        <w:rPr>
          <w:bdr w:val="single" w:sz="2" w:space="8" w:color="C7D3E8"/>
          <w:shd w:fill="F2F5FA" w:val="clear"/>
        </w:rPr>
        <w:t xml:space="preserve">Redeploy that previous image tag through the same pipeline — do not hand-edit production. </w:t>
      </w:r>
    </w:p>
    <w:p>
      <w:pPr>
        <w:pStyle w:val="BodyText"/>
        <w:numPr>
          <w:ilvl w:val="0"/>
          <w:numId w:val="4"/>
        </w:numPr>
        <w:tabs>
          <w:tab w:val="clear" w:pos="1134"/>
          <w:tab w:val="left" w:pos="829" w:leader="none"/>
        </w:tabs>
        <w:bidi w:val="0"/>
        <w:spacing w:before="120" w:after="120"/>
        <w:ind w:hanging="283" w:left="829" w:right="120"/>
        <w:jc w:val="left"/>
        <w:rPr>
          <w:bdr w:val="single" w:sz="2" w:space="8" w:color="C7D3E8"/>
          <w:shd w:fill="F2F5FA" w:val="clear"/>
        </w:rPr>
      </w:pPr>
      <w:r>
        <w:rPr>
          <w:bdr w:val="single" w:sz="2" w:space="8" w:color="C7D3E8"/>
          <w:shd w:fill="F2F5FA" w:val="clear"/>
        </w:rPr>
        <w:t xml:space="preserve">Because migrations are additive-first (11_Deployment Plan, Section 4), the previous application version should continue to work against the current schema without a database rollback. </w:t>
      </w:r>
    </w:p>
    <w:p>
      <w:pPr>
        <w:pStyle w:val="BodyText"/>
        <w:numPr>
          <w:ilvl w:val="0"/>
          <w:numId w:val="4"/>
        </w:numPr>
        <w:tabs>
          <w:tab w:val="clear" w:pos="1134"/>
          <w:tab w:val="left" w:pos="829" w:leader="none"/>
        </w:tabs>
        <w:bidi w:val="0"/>
        <w:spacing w:before="120" w:after="120"/>
        <w:ind w:hanging="283" w:left="829" w:right="120"/>
        <w:jc w:val="left"/>
        <w:rPr>
          <w:bdr w:val="single" w:sz="2" w:space="8" w:color="C7D3E8"/>
          <w:shd w:fill="F2F5FA" w:val="clear"/>
        </w:rPr>
      </w:pPr>
      <w:r>
        <w:rPr>
          <w:bdr w:val="single" w:sz="2" w:space="8" w:color="C7D3E8"/>
          <w:shd w:fill="F2F5FA" w:val="clear"/>
        </w:rPr>
        <w:t xml:space="preserve">Confirm via smoke tests (10_Test Plan, Section 8 subset relevant to that service) that the rollback resolved the issue. </w:t>
      </w:r>
    </w:p>
    <w:p>
      <w:pPr>
        <w:pStyle w:val="Heading3"/>
        <w:bidi w:val="0"/>
        <w:ind w:hanging="0"/>
        <w:jc w:val="left"/>
        <w:rPr/>
      </w:pPr>
      <w:r>
        <w:rPr/>
        <w:t>7.3 Kafka Consumer Lag or Downtime (Audit &amp; Reporting Service)</w:t>
      </w:r>
    </w:p>
    <w:p>
      <w:pPr>
        <w:pStyle w:val="BodyText"/>
        <w:numPr>
          <w:ilvl w:val="0"/>
          <w:numId w:val="5"/>
        </w:numPr>
        <w:tabs>
          <w:tab w:val="clear" w:pos="1134"/>
          <w:tab w:val="left" w:pos="829" w:leader="none"/>
        </w:tabs>
        <w:bidi w:val="0"/>
        <w:spacing w:before="120" w:after="120"/>
        <w:ind w:hanging="283" w:left="829" w:right="120"/>
        <w:jc w:val="left"/>
        <w:rPr>
          <w:bdr w:val="single" w:sz="2" w:space="8" w:color="C7D3E8"/>
          <w:shd w:fill="F2F5FA" w:val="clear"/>
        </w:rPr>
      </w:pPr>
      <w:r>
        <w:rPr>
          <w:bdr w:val="single" w:sz="2" w:space="8" w:color="C7D3E8"/>
          <w:shd w:fill="F2F5FA" w:val="clear"/>
        </w:rPr>
        <w:t xml:space="preserve">Confirm via Grafana/consumer-lag metrics whether the Audit &amp; Reporting Service's consumer is behind or stopped. </w:t>
      </w:r>
    </w:p>
    <w:p>
      <w:pPr>
        <w:pStyle w:val="BodyText"/>
        <w:numPr>
          <w:ilvl w:val="0"/>
          <w:numId w:val="5"/>
        </w:numPr>
        <w:tabs>
          <w:tab w:val="clear" w:pos="1134"/>
          <w:tab w:val="left" w:pos="829" w:leader="none"/>
        </w:tabs>
        <w:bidi w:val="0"/>
        <w:spacing w:before="120" w:after="120"/>
        <w:ind w:hanging="283" w:left="829" w:right="120"/>
        <w:jc w:val="left"/>
        <w:rPr>
          <w:bdr w:val="single" w:sz="2" w:space="8" w:color="C7D3E8"/>
          <w:shd w:fill="F2F5FA" w:val="clear"/>
        </w:rPr>
      </w:pPr>
      <w:r>
        <w:rPr>
          <w:bdr w:val="single" w:sz="2" w:space="8" w:color="C7D3E8"/>
          <w:shd w:fill="F2F5FA" w:val="clear"/>
        </w:rPr>
        <w:t xml:space="preserve">If stopped, restart it — queued events remain in Kafka and will be processed on recovery; no data is lost (verified in 13_Alpha Test Plan, Section 5.3 and 10_Test Plan, TC-032). </w:t>
      </w:r>
    </w:p>
    <w:p>
      <w:pPr>
        <w:pStyle w:val="BodyText"/>
        <w:numPr>
          <w:ilvl w:val="0"/>
          <w:numId w:val="5"/>
        </w:numPr>
        <w:tabs>
          <w:tab w:val="clear" w:pos="1134"/>
          <w:tab w:val="left" w:pos="829" w:leader="none"/>
        </w:tabs>
        <w:bidi w:val="0"/>
        <w:spacing w:before="120" w:after="120"/>
        <w:ind w:hanging="283" w:left="829" w:right="120"/>
        <w:jc w:val="left"/>
        <w:rPr>
          <w:bdr w:val="single" w:sz="2" w:space="8" w:color="C7D3E8"/>
          <w:shd w:fill="F2F5FA" w:val="clear"/>
        </w:rPr>
      </w:pPr>
      <w:r>
        <w:rPr>
          <w:bdr w:val="single" w:sz="2" w:space="8" w:color="C7D3E8"/>
          <w:shd w:fill="F2F5FA" w:val="clear"/>
        </w:rPr>
        <w:t xml:space="preserve">If merely lagging under load, monitor rather than intervene — this affects how current the audit trail and dashboards appear, not data integrity, and should catch up once the load subsides. </w:t>
      </w:r>
    </w:p>
    <w:p>
      <w:pPr>
        <w:pStyle w:val="Heading3"/>
        <w:bidi w:val="0"/>
        <w:ind w:hanging="0"/>
        <w:jc w:val="left"/>
        <w:rPr/>
      </w:pPr>
      <w:r>
        <w:rPr/>
        <w:t>7.4 Suspected Unauthorized Access</w:t>
      </w:r>
    </w:p>
    <w:p>
      <w:pPr>
        <w:pStyle w:val="BodyText"/>
        <w:numPr>
          <w:ilvl w:val="0"/>
          <w:numId w:val="6"/>
        </w:numPr>
        <w:tabs>
          <w:tab w:val="clear" w:pos="1134"/>
          <w:tab w:val="left" w:pos="829" w:leader="none"/>
        </w:tabs>
        <w:bidi w:val="0"/>
        <w:spacing w:before="120" w:after="120"/>
        <w:ind w:hanging="283" w:left="829" w:right="120"/>
        <w:jc w:val="left"/>
        <w:rPr/>
      </w:pPr>
      <w:r>
        <w:rPr>
          <w:shd w:fill="F2F5FA" w:val="clear"/>
        </w:rPr>
        <w:t xml:space="preserve">Search the Audit Trail (14_User Manual, Section 8) for the account and time window in question, including any </w:t>
      </w:r>
      <w:r>
        <w:rPr>
          <w:rStyle w:val="SourceText"/>
          <w:shd w:fill="F2F5FA" w:val="clear"/>
        </w:rPr>
        <w:t>access_denied</w:t>
      </w:r>
      <w:r>
        <w:rPr>
          <w:shd w:fill="F2F5FA" w:val="clear"/>
        </w:rPr>
        <w:t xml:space="preserve"> entries. </w:t>
      </w:r>
    </w:p>
    <w:p>
      <w:pPr>
        <w:pStyle w:val="BodyText"/>
        <w:numPr>
          <w:ilvl w:val="0"/>
          <w:numId w:val="6"/>
        </w:numPr>
        <w:tabs>
          <w:tab w:val="clear" w:pos="1134"/>
          <w:tab w:val="left" w:pos="829" w:leader="none"/>
        </w:tabs>
        <w:bidi w:val="0"/>
        <w:spacing w:before="120" w:after="120"/>
        <w:ind w:hanging="283" w:left="829" w:right="120"/>
        <w:jc w:val="left"/>
        <w:rPr>
          <w:bdr w:val="single" w:sz="2" w:space="8" w:color="C7D3E8"/>
          <w:shd w:fill="F2F5FA" w:val="clear"/>
        </w:rPr>
      </w:pPr>
      <w:r>
        <w:rPr>
          <w:bdr w:val="single" w:sz="2" w:space="8" w:color="C7D3E8"/>
          <w:shd w:fill="F2F5FA" w:val="clear"/>
        </w:rPr>
        <w:t xml:space="preserve">Lock the affected account immediately (Section 4) while investigating. </w:t>
      </w:r>
    </w:p>
    <w:p>
      <w:pPr>
        <w:pStyle w:val="BodyText"/>
        <w:numPr>
          <w:ilvl w:val="0"/>
          <w:numId w:val="6"/>
        </w:numPr>
        <w:tabs>
          <w:tab w:val="clear" w:pos="1134"/>
          <w:tab w:val="left" w:pos="829" w:leader="none"/>
        </w:tabs>
        <w:bidi w:val="0"/>
        <w:spacing w:before="120" w:after="120"/>
        <w:ind w:hanging="283" w:left="829" w:right="120"/>
        <w:jc w:val="left"/>
        <w:rPr>
          <w:bdr w:val="single" w:sz="2" w:space="8" w:color="C7D3E8"/>
          <w:shd w:fill="F2F5FA" w:val="clear"/>
        </w:rPr>
      </w:pPr>
      <w:r>
        <w:rPr>
          <w:bdr w:val="single" w:sz="2" w:space="8" w:color="C7D3E8"/>
          <w:shd w:fill="F2F5FA" w:val="clear"/>
        </w:rPr>
        <w:t xml:space="preserve">Check Identity Service logs for the source IP address of the suspicious logins. </w:t>
      </w:r>
    </w:p>
    <w:p>
      <w:pPr>
        <w:pStyle w:val="BodyText"/>
        <w:numPr>
          <w:ilvl w:val="0"/>
          <w:numId w:val="6"/>
        </w:numPr>
        <w:tabs>
          <w:tab w:val="clear" w:pos="1134"/>
          <w:tab w:val="left" w:pos="829" w:leader="none"/>
        </w:tabs>
        <w:bidi w:val="0"/>
        <w:spacing w:before="120" w:after="120"/>
        <w:ind w:hanging="283" w:left="829" w:right="120"/>
        <w:jc w:val="left"/>
        <w:rPr>
          <w:bdr w:val="single" w:sz="2" w:space="8" w:color="C7D3E8"/>
          <w:shd w:fill="F2F5FA" w:val="clear"/>
        </w:rPr>
      </w:pPr>
      <w:r>
        <w:rPr>
          <w:bdr w:val="single" w:sz="2" w:space="8" w:color="C7D3E8"/>
          <w:shd w:fill="F2F5FA" w:val="clear"/>
        </w:rPr>
        <w:t xml:space="preserve">If confirmed unauthorized, reset the account's password and review what data that account's role/scope could have accessed during the incident window. </w:t>
      </w:r>
    </w:p>
    <w:p>
      <w:pPr>
        <w:pStyle w:val="Heading2"/>
        <w:bidi w:val="0"/>
        <w:ind w:hanging="0"/>
        <w:jc w:val="left"/>
        <w:rPr/>
      </w:pPr>
      <w:r>
        <w:rPr/>
        <w:t>8. Release and Deployment Administration</w:t>
      </w:r>
    </w:p>
    <w:p>
      <w:pPr>
        <w:pStyle w:val="BodyText"/>
        <w:bidi w:val="0"/>
        <w:jc w:val="left"/>
        <w:rPr/>
      </w:pPr>
      <w:r>
        <w:rPr/>
        <w:t>Per 11_Deployment Plan, Sections 5–6: releases are per-service, via GitLab CI, using rolling ECS deployments with automatic health-check-gated rollout. As administrator, your role in a routine release is to monitor the pipeline and Grafana during and after deployment (Section 5 above), not to perform the deployment steps manually. Manual production changes outside the pipeline are not supported and break the assumption that what's running matches what's in version control.</w:t>
      </w:r>
    </w:p>
    <w:p>
      <w:pPr>
        <w:pStyle w:val="Heading2"/>
        <w:bidi w:val="0"/>
        <w:jc w:val="left"/>
        <w:rPr/>
      </w:pPr>
      <w:r>
        <w:rPr/>
        <w:t>9. Data Administration</w:t>
      </w:r>
    </w:p>
    <w:p>
      <w:pPr>
        <w:pStyle w:val="BodyText"/>
        <w:numPr>
          <w:ilvl w:val="0"/>
          <w:numId w:val="7"/>
        </w:numPr>
        <w:tabs>
          <w:tab w:val="clear" w:pos="1134"/>
          <w:tab w:val="left" w:pos="709" w:leader="none"/>
        </w:tabs>
        <w:bidi w:val="0"/>
        <w:spacing w:before="0" w:after="0"/>
        <w:ind w:hanging="283" w:left="709"/>
        <w:jc w:val="left"/>
        <w:rPr/>
      </w:pPr>
      <w:r>
        <w:rPr>
          <w:b/>
        </w:rPr>
        <w:t>Seed data:</w:t>
      </w:r>
      <w:r>
        <w:rPr/>
        <w:t xml:space="preserve"> the role/permission catalogue is seeded once at initial deployment (08_Database Design Document, Section 14) — do not re-seed into a live environment without understanding what will be overwritten. </w:t>
      </w:r>
    </w:p>
    <w:p>
      <w:pPr>
        <w:pStyle w:val="BodyText"/>
        <w:numPr>
          <w:ilvl w:val="0"/>
          <w:numId w:val="7"/>
        </w:numPr>
        <w:tabs>
          <w:tab w:val="clear" w:pos="1134"/>
          <w:tab w:val="left" w:pos="709" w:leader="none"/>
        </w:tabs>
        <w:bidi w:val="0"/>
        <w:spacing w:before="0" w:after="0"/>
        <w:ind w:hanging="283" w:left="709"/>
        <w:jc w:val="left"/>
        <w:rPr/>
      </w:pPr>
      <w:r>
        <w:rPr>
          <w:b/>
        </w:rPr>
        <w:t>Opening balances and company data migration:</w:t>
      </w:r>
      <w:r>
        <w:rPr/>
        <w:t xml:space="preserve"> follow the sequence and validation steps in 08_Database Design Document, Section 14 and 11_Deployment Plan, Section 7 exactly — Organization data first, then Identity, then Employee/Customer/Supplier/Product, then Accounting last. </w:t>
      </w:r>
    </w:p>
    <w:p>
      <w:pPr>
        <w:pStyle w:val="BodyText"/>
        <w:numPr>
          <w:ilvl w:val="0"/>
          <w:numId w:val="7"/>
        </w:numPr>
        <w:tabs>
          <w:tab w:val="clear" w:pos="1134"/>
          <w:tab w:val="left" w:pos="709" w:leader="none"/>
        </w:tabs>
        <w:bidi w:val="0"/>
        <w:ind w:hanging="283" w:left="709"/>
        <w:jc w:val="left"/>
        <w:rPr/>
      </w:pPr>
      <w:r>
        <w:rPr>
          <w:b/>
        </w:rPr>
        <w:t>Cross-service data corrections:</w:t>
      </w:r>
      <w:r>
        <w:rPr/>
        <w:t xml:space="preserve"> because there are no database-level foreign keys between services (08_Database Design Document, Section 11), a bad reference (e.g. an employee pointing to a company_id that no longer exists) will not be caught by the database — periodically spot-check for orphaned logical references, since nothing else will. </w:t>
      </w:r>
    </w:p>
    <w:p>
      <w:pPr>
        <w:pStyle w:val="Heading2"/>
        <w:bidi w:val="0"/>
        <w:jc w:val="left"/>
        <w:rPr/>
      </w:pPr>
      <w:r>
        <w:rPr/>
        <w:t>10. Security Administration</w:t>
      </w:r>
    </w:p>
    <w:p>
      <w:pPr>
        <w:pStyle w:val="BodyText"/>
        <w:numPr>
          <w:ilvl w:val="0"/>
          <w:numId w:val="8"/>
        </w:numPr>
        <w:tabs>
          <w:tab w:val="clear" w:pos="1134"/>
          <w:tab w:val="left" w:pos="709" w:leader="none"/>
        </w:tabs>
        <w:bidi w:val="0"/>
        <w:spacing w:before="0" w:after="0"/>
        <w:ind w:hanging="283" w:left="709"/>
        <w:jc w:val="left"/>
        <w:rPr/>
      </w:pPr>
      <w:r>
        <w:rPr/>
        <w:t xml:space="preserve">Review failed-login and account-lockout patterns in the Audit Trail periodically, not only when a user reports a problem (Section 4). </w:t>
      </w:r>
    </w:p>
    <w:p>
      <w:pPr>
        <w:pStyle w:val="BodyText"/>
        <w:numPr>
          <w:ilvl w:val="0"/>
          <w:numId w:val="8"/>
        </w:numPr>
        <w:tabs>
          <w:tab w:val="clear" w:pos="1134"/>
          <w:tab w:val="left" w:pos="709" w:leader="none"/>
        </w:tabs>
        <w:bidi w:val="0"/>
        <w:spacing w:before="0" w:after="0"/>
        <w:ind w:hanging="283" w:left="709"/>
        <w:jc w:val="left"/>
        <w:rPr/>
      </w:pPr>
      <w:r>
        <w:rPr/>
        <w:t xml:space="preserve">Rate limiting on </w:t>
      </w:r>
      <w:r>
        <w:rPr>
          <w:rStyle w:val="SourceText"/>
        </w:rPr>
        <w:t>/auth/login</w:t>
      </w:r>
      <w:r>
        <w:rPr/>
        <w:t xml:space="preserve"> and password-reset endpoints (09_API Specification, Section 2.6) is a starting point (10 requests/minute per IP) — tune based on observed legitimate vs. abusive traffic once real usage data exists. </w:t>
      </w:r>
    </w:p>
    <w:p>
      <w:pPr>
        <w:pStyle w:val="BodyText"/>
        <w:numPr>
          <w:ilvl w:val="0"/>
          <w:numId w:val="8"/>
        </w:numPr>
        <w:tabs>
          <w:tab w:val="clear" w:pos="1134"/>
          <w:tab w:val="left" w:pos="709" w:leader="none"/>
        </w:tabs>
        <w:bidi w:val="0"/>
        <w:spacing w:before="0" w:after="0"/>
        <w:ind w:hanging="283" w:left="709"/>
        <w:jc w:val="left"/>
        <w:rPr/>
      </w:pPr>
      <w:r>
        <w:rPr/>
        <w:t xml:space="preserve">Employee and supplier bank/tax fields are encrypted at rest and access-restricted (08_Database Design Document, Sections 5, 7); do not grant broad "view all fields" permissions to roles that do not specifically need them, per FR-USER-08. </w:t>
      </w:r>
    </w:p>
    <w:p>
      <w:pPr>
        <w:pStyle w:val="BodyText"/>
        <w:numPr>
          <w:ilvl w:val="0"/>
          <w:numId w:val="8"/>
        </w:numPr>
        <w:tabs>
          <w:tab w:val="clear" w:pos="1134"/>
          <w:tab w:val="left" w:pos="709" w:leader="none"/>
        </w:tabs>
        <w:bidi w:val="0"/>
        <w:ind w:hanging="283" w:left="709"/>
        <w:jc w:val="left"/>
        <w:rPr/>
      </w:pPr>
      <w:r>
        <w:rPr/>
        <w:t xml:space="preserve">Given the system holds personal data on employees, customers and suppliers, periodic review against Uganda's Data Protection and Privacy Act, 2019 obligations is recommended, per 03_Feasibility Study, Section 7 — this is a legal/compliance review, not only a technical one, and should involve qualified counsel. </w:t>
      </w:r>
    </w:p>
    <w:p>
      <w:pPr>
        <w:pStyle w:val="Heading2"/>
        <w:bidi w:val="0"/>
        <w:jc w:val="left"/>
        <w:rPr/>
      </w:pPr>
      <w:r>
        <w:rPr/>
        <w:t>11. Maintenance Windows and Communication</w:t>
      </w:r>
    </w:p>
    <w:p>
      <w:pPr>
        <w:pStyle w:val="BodyText"/>
        <w:bidi w:val="0"/>
        <w:jc w:val="left"/>
        <w:rPr/>
      </w:pPr>
      <w:r>
        <w:rPr/>
        <w:t>Because each service deploys independently with a rolling, health-check-gated strategy (Section 8), routine releases do not require a scheduled downtime window. Reserve a communicated maintenance window only for changes that cannot be done as a rolling deploy (e.g. a cross-service infrastructure change affecting Kafka or the API Gateway itself) — notify affected subsidiaries in advance, consistent with 11_Deployment Plan, Section 9's communication approach for the go-live rollout.</w:t>
      </w:r>
    </w:p>
    <w:p>
      <w:pPr>
        <w:pStyle w:val="Heading2"/>
        <w:bidi w:val="0"/>
        <w:jc w:val="left"/>
        <w:rPr/>
      </w:pPr>
      <w:r>
        <w:rPr/>
        <w:t>12. Escalation and Support</w:t>
      </w:r>
    </w:p>
    <w:tbl>
      <w:tblPr>
        <w:tblW w:w="11339" w:type="dxa"/>
        <w:jc w:val="left"/>
        <w:tblInd w:w="28" w:type="dxa"/>
        <w:tblLayout w:type="fixed"/>
        <w:tblCellMar>
          <w:top w:w="28" w:type="dxa"/>
          <w:left w:w="28" w:type="dxa"/>
          <w:bottom w:w="28" w:type="dxa"/>
          <w:right w:w="28" w:type="dxa"/>
        </w:tblCellMar>
      </w:tblPr>
      <w:tblGrid>
        <w:gridCol w:w="4289"/>
        <w:gridCol w:w="7050"/>
      </w:tblGrid>
      <w:tr>
        <w:trPr/>
        <w:tc>
          <w:tcPr>
            <w:tcW w:w="4289" w:type="dxa"/>
            <w:tcBorders/>
            <w:vAlign w:val="center"/>
          </w:tcPr>
          <w:p>
            <w:pPr>
              <w:pStyle w:val="TableHeading"/>
              <w:suppressLineNumbers/>
              <w:shd w:fill="1F3864" w:val="clear"/>
              <w:bidi w:val="0"/>
              <w:spacing w:before="0" w:after="283"/>
              <w:jc w:val="left"/>
              <w:rPr/>
            </w:pPr>
            <w:r>
              <w:rPr/>
              <w:t>Situation</w:t>
            </w:r>
          </w:p>
        </w:tc>
        <w:tc>
          <w:tcPr>
            <w:tcW w:w="7050" w:type="dxa"/>
            <w:tcBorders/>
            <w:vAlign w:val="center"/>
          </w:tcPr>
          <w:p>
            <w:pPr>
              <w:pStyle w:val="TableHeading"/>
              <w:suppressLineNumbers/>
              <w:shd w:fill="1F3864" w:val="clear"/>
              <w:bidi w:val="0"/>
              <w:spacing w:before="0" w:after="283"/>
              <w:jc w:val="left"/>
              <w:rPr/>
            </w:pPr>
            <w:r>
              <w:rPr/>
              <w:t>Escalate To</w:t>
            </w:r>
          </w:p>
        </w:tc>
      </w:tr>
      <w:tr>
        <w:trPr/>
        <w:tc>
          <w:tcPr>
            <w:tcW w:w="4289" w:type="dxa"/>
            <w:tcBorders/>
            <w:vAlign w:val="center"/>
          </w:tcPr>
          <w:p>
            <w:pPr>
              <w:pStyle w:val="TableContents"/>
              <w:bidi w:val="0"/>
              <w:spacing w:before="0" w:after="283"/>
              <w:jc w:val="left"/>
              <w:rPr/>
            </w:pPr>
            <w:r>
              <w:rPr/>
              <w:t>Service outage not resolved by Section 7.1–7.3 within a reasonable time</w:t>
            </w:r>
          </w:p>
        </w:tc>
        <w:tc>
          <w:tcPr>
            <w:tcW w:w="7050" w:type="dxa"/>
            <w:tcBorders/>
            <w:vAlign w:val="center"/>
          </w:tcPr>
          <w:p>
            <w:pPr>
              <w:pStyle w:val="TableContents"/>
              <w:bidi w:val="0"/>
              <w:spacing w:before="0" w:after="283"/>
              <w:jc w:val="left"/>
              <w:rPr/>
            </w:pPr>
            <w:r>
              <w:rPr/>
              <w:t xml:space="preserve">Development team/technology partner on-call contact </w:t>
            </w:r>
            <w:r>
              <w:rPr>
                <w:i/>
              </w:rPr>
              <w:t>(to be confirmed once the team is engaged, per 03_Feasibility Study, Section 3.4)</w:t>
            </w:r>
          </w:p>
        </w:tc>
      </w:tr>
      <w:tr>
        <w:trPr/>
        <w:tc>
          <w:tcPr>
            <w:tcW w:w="4289" w:type="dxa"/>
            <w:tcBorders/>
            <w:vAlign w:val="center"/>
          </w:tcPr>
          <w:p>
            <w:pPr>
              <w:pStyle w:val="TableContents"/>
              <w:bidi w:val="0"/>
              <w:spacing w:before="0" w:after="283"/>
              <w:jc w:val="left"/>
              <w:rPr/>
            </w:pPr>
            <w:r>
              <w:rPr/>
              <w:t>Suspected data integrity issue in financial records</w:t>
            </w:r>
          </w:p>
        </w:tc>
        <w:tc>
          <w:tcPr>
            <w:tcW w:w="7050" w:type="dxa"/>
            <w:tcBorders/>
            <w:vAlign w:val="center"/>
          </w:tcPr>
          <w:p>
            <w:pPr>
              <w:pStyle w:val="TableContents"/>
              <w:bidi w:val="0"/>
              <w:spacing w:before="0" w:after="283"/>
              <w:jc w:val="left"/>
              <w:rPr/>
            </w:pPr>
            <w:r>
              <w:rPr/>
              <w:t>Finance Manager, before any corrective action is taken</w:t>
            </w:r>
          </w:p>
        </w:tc>
      </w:tr>
      <w:tr>
        <w:trPr/>
        <w:tc>
          <w:tcPr>
            <w:tcW w:w="4289" w:type="dxa"/>
            <w:tcBorders/>
            <w:vAlign w:val="center"/>
          </w:tcPr>
          <w:p>
            <w:pPr>
              <w:pStyle w:val="TableContents"/>
              <w:bidi w:val="0"/>
              <w:spacing w:before="0" w:after="283"/>
              <w:jc w:val="left"/>
              <w:rPr/>
            </w:pPr>
            <w:r>
              <w:rPr/>
              <w:t>Suspected security incident (Section 7.4)</w:t>
            </w:r>
          </w:p>
        </w:tc>
        <w:tc>
          <w:tcPr>
            <w:tcW w:w="7050" w:type="dxa"/>
            <w:tcBorders/>
            <w:vAlign w:val="center"/>
          </w:tcPr>
          <w:p>
            <w:pPr>
              <w:pStyle w:val="TableContents"/>
              <w:bidi w:val="0"/>
              <w:spacing w:before="0" w:after="283"/>
              <w:jc w:val="left"/>
              <w:rPr/>
            </w:pPr>
            <w:r>
              <w:rPr/>
              <w:t>Managing Director and Director, in addition to technical containment steps</w:t>
            </w:r>
          </w:p>
        </w:tc>
      </w:tr>
      <w:tr>
        <w:trPr/>
        <w:tc>
          <w:tcPr>
            <w:tcW w:w="4289" w:type="dxa"/>
            <w:tcBorders/>
            <w:vAlign w:val="center"/>
          </w:tcPr>
          <w:p>
            <w:pPr>
              <w:pStyle w:val="TableContents"/>
              <w:bidi w:val="0"/>
              <w:spacing w:before="0" w:after="283"/>
              <w:jc w:val="left"/>
              <w:rPr/>
            </w:pPr>
            <w:r>
              <w:rPr/>
              <w:t>Governance/funding-related blocker (e.g. infrastructure spend approval)</w:t>
            </w:r>
          </w:p>
        </w:tc>
        <w:tc>
          <w:tcPr>
            <w:tcW w:w="7050" w:type="dxa"/>
            <w:tcBorders/>
            <w:vAlign w:val="center"/>
          </w:tcPr>
          <w:p>
            <w:pPr>
              <w:pStyle w:val="TableContents"/>
              <w:bidi w:val="0"/>
              <w:spacing w:before="0" w:after="283"/>
              <w:jc w:val="left"/>
              <w:rPr/>
            </w:pPr>
            <w:r>
              <w:rPr/>
              <w:t>Board of Directors, per the signatory arrangements in the 2019 Board Resolution</w:t>
            </w:r>
          </w:p>
        </w:tc>
      </w:tr>
    </w:tbl>
    <w:p>
      <w:pPr>
        <w:pStyle w:val="Heading2"/>
        <w:bidi w:val="0"/>
        <w:jc w:val="left"/>
        <w:rPr/>
      </w:pPr>
      <w:r>
        <w:rPr/>
        <w:t>13. Technical Error Code Reference</w:t>
      </w:r>
    </w:p>
    <w:p>
      <w:pPr>
        <w:pStyle w:val="BodyText"/>
        <w:bidi w:val="0"/>
        <w:jc w:val="left"/>
        <w:rPr/>
      </w:pPr>
      <w:r>
        <w:rPr/>
        <w:t>For the plain-language, end-user version of this table, see 14_User Manual, Section 9. This version is for diagnosing the underlying cause:</w:t>
      </w:r>
    </w:p>
    <w:tbl>
      <w:tblPr>
        <w:tblW w:w="11339" w:type="dxa"/>
        <w:jc w:val="left"/>
        <w:tblInd w:w="28" w:type="dxa"/>
        <w:tblLayout w:type="fixed"/>
        <w:tblCellMar>
          <w:top w:w="28" w:type="dxa"/>
          <w:left w:w="28" w:type="dxa"/>
          <w:bottom w:w="28" w:type="dxa"/>
          <w:right w:w="28" w:type="dxa"/>
        </w:tblCellMar>
      </w:tblPr>
      <w:tblGrid>
        <w:gridCol w:w="2095"/>
        <w:gridCol w:w="1101"/>
        <w:gridCol w:w="8143"/>
      </w:tblGrid>
      <w:tr>
        <w:trPr/>
        <w:tc>
          <w:tcPr>
            <w:tcW w:w="2095" w:type="dxa"/>
            <w:tcBorders/>
            <w:vAlign w:val="center"/>
          </w:tcPr>
          <w:p>
            <w:pPr>
              <w:pStyle w:val="TableHeading"/>
              <w:suppressLineNumbers/>
              <w:shd w:fill="1F3864" w:val="clear"/>
              <w:bidi w:val="0"/>
              <w:spacing w:before="0" w:after="283"/>
              <w:jc w:val="left"/>
              <w:rPr/>
            </w:pPr>
            <w:r>
              <w:rPr/>
              <w:t>Code</w:t>
            </w:r>
          </w:p>
        </w:tc>
        <w:tc>
          <w:tcPr>
            <w:tcW w:w="1101" w:type="dxa"/>
            <w:tcBorders/>
            <w:vAlign w:val="center"/>
          </w:tcPr>
          <w:p>
            <w:pPr>
              <w:pStyle w:val="TableHeading"/>
              <w:suppressLineNumbers/>
              <w:shd w:fill="1F3864" w:val="clear"/>
              <w:bidi w:val="0"/>
              <w:spacing w:before="0" w:after="283"/>
              <w:jc w:val="left"/>
              <w:rPr/>
            </w:pPr>
            <w:r>
              <w:rPr/>
              <w:t>HTTP Status</w:t>
            </w:r>
          </w:p>
        </w:tc>
        <w:tc>
          <w:tcPr>
            <w:tcW w:w="8143" w:type="dxa"/>
            <w:tcBorders/>
            <w:vAlign w:val="center"/>
          </w:tcPr>
          <w:p>
            <w:pPr>
              <w:pStyle w:val="TableHeading"/>
              <w:suppressLineNumbers/>
              <w:shd w:fill="1F3864" w:val="clear"/>
              <w:bidi w:val="0"/>
              <w:spacing w:before="0" w:after="283"/>
              <w:jc w:val="left"/>
              <w:rPr/>
            </w:pPr>
            <w:r>
              <w:rPr/>
              <w:t>Where to Look</w:t>
            </w:r>
          </w:p>
        </w:tc>
      </w:tr>
      <w:tr>
        <w:trPr/>
        <w:tc>
          <w:tcPr>
            <w:tcW w:w="2095" w:type="dxa"/>
            <w:tcBorders/>
            <w:vAlign w:val="center"/>
          </w:tcPr>
          <w:p>
            <w:pPr>
              <w:pStyle w:val="TableContents"/>
              <w:bidi w:val="0"/>
              <w:spacing w:before="0" w:after="283"/>
              <w:jc w:val="left"/>
              <w:rPr/>
            </w:pPr>
            <w:r>
              <w:rPr/>
              <w:t>VALIDATION_ERROR</w:t>
            </w:r>
          </w:p>
        </w:tc>
        <w:tc>
          <w:tcPr>
            <w:tcW w:w="1101" w:type="dxa"/>
            <w:tcBorders/>
            <w:vAlign w:val="center"/>
          </w:tcPr>
          <w:p>
            <w:pPr>
              <w:pStyle w:val="TableContents"/>
              <w:bidi w:val="0"/>
              <w:spacing w:before="0" w:after="283"/>
              <w:jc w:val="left"/>
              <w:rPr/>
            </w:pPr>
            <w:r>
              <w:rPr/>
              <w:t>400</w:t>
            </w:r>
          </w:p>
        </w:tc>
        <w:tc>
          <w:tcPr>
            <w:tcW w:w="8143" w:type="dxa"/>
            <w:tcBorders/>
            <w:vAlign w:val="center"/>
          </w:tcPr>
          <w:p>
            <w:pPr>
              <w:pStyle w:val="TableContents"/>
              <w:bidi w:val="0"/>
              <w:spacing w:before="0" w:after="283"/>
              <w:jc w:val="left"/>
              <w:rPr/>
            </w:pPr>
            <w:r>
              <w:rPr/>
              <w:t>Request payload vs. the relevant service's schema (09_API Specification)</w:t>
            </w:r>
          </w:p>
        </w:tc>
      </w:tr>
      <w:tr>
        <w:trPr/>
        <w:tc>
          <w:tcPr>
            <w:tcW w:w="2095" w:type="dxa"/>
            <w:tcBorders/>
            <w:vAlign w:val="center"/>
          </w:tcPr>
          <w:p>
            <w:pPr>
              <w:pStyle w:val="TableContents"/>
              <w:bidi w:val="0"/>
              <w:spacing w:before="0" w:after="283"/>
              <w:jc w:val="left"/>
              <w:rPr/>
            </w:pPr>
            <w:r>
              <w:rPr/>
              <w:t>UNAUTHORIZED</w:t>
            </w:r>
          </w:p>
        </w:tc>
        <w:tc>
          <w:tcPr>
            <w:tcW w:w="1101" w:type="dxa"/>
            <w:tcBorders/>
            <w:vAlign w:val="center"/>
          </w:tcPr>
          <w:p>
            <w:pPr>
              <w:pStyle w:val="TableContents"/>
              <w:bidi w:val="0"/>
              <w:spacing w:before="0" w:after="283"/>
              <w:jc w:val="left"/>
              <w:rPr/>
            </w:pPr>
            <w:r>
              <w:rPr/>
              <w:t>401</w:t>
            </w:r>
          </w:p>
        </w:tc>
        <w:tc>
          <w:tcPr>
            <w:tcW w:w="8143" w:type="dxa"/>
            <w:tcBorders/>
            <w:vAlign w:val="center"/>
          </w:tcPr>
          <w:p>
            <w:pPr>
              <w:pStyle w:val="TableContents"/>
              <w:bidi w:val="0"/>
              <w:spacing w:before="0" w:after="283"/>
              <w:jc w:val="left"/>
              <w:rPr/>
            </w:pPr>
            <w:r>
              <w:rPr/>
              <w:t>Identity Service auth logs; check token expiry configuration</w:t>
            </w:r>
          </w:p>
        </w:tc>
      </w:tr>
      <w:tr>
        <w:trPr/>
        <w:tc>
          <w:tcPr>
            <w:tcW w:w="2095" w:type="dxa"/>
            <w:tcBorders/>
            <w:vAlign w:val="center"/>
          </w:tcPr>
          <w:p>
            <w:pPr>
              <w:pStyle w:val="TableContents"/>
              <w:bidi w:val="0"/>
              <w:spacing w:before="0" w:after="283"/>
              <w:jc w:val="left"/>
              <w:rPr/>
            </w:pPr>
            <w:r>
              <w:rPr/>
              <w:t>FORBIDDEN</w:t>
            </w:r>
          </w:p>
        </w:tc>
        <w:tc>
          <w:tcPr>
            <w:tcW w:w="1101" w:type="dxa"/>
            <w:tcBorders/>
            <w:vAlign w:val="center"/>
          </w:tcPr>
          <w:p>
            <w:pPr>
              <w:pStyle w:val="TableContents"/>
              <w:bidi w:val="0"/>
              <w:spacing w:before="0" w:after="283"/>
              <w:jc w:val="left"/>
              <w:rPr/>
            </w:pPr>
            <w:r>
              <w:rPr/>
              <w:t>403</w:t>
            </w:r>
          </w:p>
        </w:tc>
        <w:tc>
          <w:tcPr>
            <w:tcW w:w="8143" w:type="dxa"/>
            <w:tcBorders/>
            <w:vAlign w:val="center"/>
          </w:tcPr>
          <w:p>
            <w:pPr>
              <w:pStyle w:val="TableContents"/>
              <w:bidi w:val="0"/>
              <w:spacing w:before="0" w:after="283"/>
              <w:jc w:val="left"/>
              <w:rPr/>
            </w:pPr>
            <w:r>
              <w:rPr/>
              <w:t xml:space="preserve">User's role/scope assignment (Section 4); also logged as an </w:t>
            </w:r>
            <w:r>
              <w:rPr>
                <w:rStyle w:val="SourceText"/>
              </w:rPr>
              <w:t>access_denied</w:t>
            </w:r>
            <w:r>
              <w:rPr/>
              <w:t xml:space="preserve"> audit event</w:t>
            </w:r>
          </w:p>
        </w:tc>
      </w:tr>
      <w:tr>
        <w:trPr/>
        <w:tc>
          <w:tcPr>
            <w:tcW w:w="2095" w:type="dxa"/>
            <w:tcBorders/>
            <w:vAlign w:val="center"/>
          </w:tcPr>
          <w:p>
            <w:pPr>
              <w:pStyle w:val="TableContents"/>
              <w:bidi w:val="0"/>
              <w:spacing w:before="0" w:after="283"/>
              <w:jc w:val="left"/>
              <w:rPr/>
            </w:pPr>
            <w:r>
              <w:rPr/>
              <w:t>NOT_FOUND</w:t>
            </w:r>
          </w:p>
        </w:tc>
        <w:tc>
          <w:tcPr>
            <w:tcW w:w="1101" w:type="dxa"/>
            <w:tcBorders/>
            <w:vAlign w:val="center"/>
          </w:tcPr>
          <w:p>
            <w:pPr>
              <w:pStyle w:val="TableContents"/>
              <w:bidi w:val="0"/>
              <w:spacing w:before="0" w:after="283"/>
              <w:jc w:val="left"/>
              <w:rPr/>
            </w:pPr>
            <w:r>
              <w:rPr/>
              <w:t>404</w:t>
            </w:r>
          </w:p>
        </w:tc>
        <w:tc>
          <w:tcPr>
            <w:tcW w:w="8143" w:type="dxa"/>
            <w:tcBorders/>
            <w:vAlign w:val="center"/>
          </w:tcPr>
          <w:p>
            <w:pPr>
              <w:pStyle w:val="TableContents"/>
              <w:bidi w:val="0"/>
              <w:spacing w:before="0" w:after="283"/>
              <w:jc w:val="left"/>
              <w:rPr/>
            </w:pPr>
            <w:r>
              <w:rPr/>
              <w:t>Confirm the record exists and the requesting user's scope actually covers it</w:t>
            </w:r>
          </w:p>
        </w:tc>
      </w:tr>
      <w:tr>
        <w:trPr/>
        <w:tc>
          <w:tcPr>
            <w:tcW w:w="2095" w:type="dxa"/>
            <w:tcBorders/>
            <w:vAlign w:val="center"/>
          </w:tcPr>
          <w:p>
            <w:pPr>
              <w:pStyle w:val="TableContents"/>
              <w:bidi w:val="0"/>
              <w:spacing w:before="0" w:after="283"/>
              <w:jc w:val="left"/>
              <w:rPr/>
            </w:pPr>
            <w:r>
              <w:rPr/>
              <w:t>CONFLICT</w:t>
            </w:r>
          </w:p>
        </w:tc>
        <w:tc>
          <w:tcPr>
            <w:tcW w:w="1101" w:type="dxa"/>
            <w:tcBorders/>
            <w:vAlign w:val="center"/>
          </w:tcPr>
          <w:p>
            <w:pPr>
              <w:pStyle w:val="TableContents"/>
              <w:bidi w:val="0"/>
              <w:spacing w:before="0" w:after="283"/>
              <w:jc w:val="left"/>
              <w:rPr/>
            </w:pPr>
            <w:r>
              <w:rPr/>
              <w:t>409</w:t>
            </w:r>
          </w:p>
        </w:tc>
        <w:tc>
          <w:tcPr>
            <w:tcW w:w="8143" w:type="dxa"/>
            <w:tcBorders/>
            <w:vAlign w:val="center"/>
          </w:tcPr>
          <w:p>
            <w:pPr>
              <w:pStyle w:val="TableContents"/>
              <w:bidi w:val="0"/>
              <w:spacing w:before="0" w:after="283"/>
              <w:jc w:val="left"/>
              <w:rPr/>
            </w:pPr>
            <w:r>
              <w:rPr/>
              <w:t>Uniqueness constraint in that service's database (08_Database Design Document)</w:t>
            </w:r>
          </w:p>
        </w:tc>
      </w:tr>
      <w:tr>
        <w:trPr/>
        <w:tc>
          <w:tcPr>
            <w:tcW w:w="2095" w:type="dxa"/>
            <w:tcBorders/>
            <w:vAlign w:val="center"/>
          </w:tcPr>
          <w:p>
            <w:pPr>
              <w:pStyle w:val="TableContents"/>
              <w:bidi w:val="0"/>
              <w:spacing w:before="0" w:after="283"/>
              <w:jc w:val="left"/>
              <w:rPr/>
            </w:pPr>
            <w:r>
              <w:rPr/>
              <w:t>UNBALANCED_ENTRY</w:t>
            </w:r>
          </w:p>
        </w:tc>
        <w:tc>
          <w:tcPr>
            <w:tcW w:w="1101" w:type="dxa"/>
            <w:tcBorders/>
            <w:vAlign w:val="center"/>
          </w:tcPr>
          <w:p>
            <w:pPr>
              <w:pStyle w:val="TableContents"/>
              <w:bidi w:val="0"/>
              <w:spacing w:before="0" w:after="283"/>
              <w:jc w:val="left"/>
              <w:rPr/>
            </w:pPr>
            <w:r>
              <w:rPr/>
              <w:t>422</w:t>
            </w:r>
          </w:p>
        </w:tc>
        <w:tc>
          <w:tcPr>
            <w:tcW w:w="8143" w:type="dxa"/>
            <w:tcBorders/>
            <w:vAlign w:val="center"/>
          </w:tcPr>
          <w:p>
            <w:pPr>
              <w:pStyle w:val="TableContents"/>
              <w:bidi w:val="0"/>
              <w:spacing w:before="0" w:after="283"/>
              <w:jc w:val="left"/>
              <w:rPr/>
            </w:pPr>
            <w:r>
              <w:rPr/>
              <w:t>Accounting Service validation logic (BR-03); should never reach the client without the UI having already warned the user</w:t>
            </w:r>
          </w:p>
        </w:tc>
      </w:tr>
      <w:tr>
        <w:trPr/>
        <w:tc>
          <w:tcPr>
            <w:tcW w:w="2095" w:type="dxa"/>
            <w:tcBorders/>
            <w:vAlign w:val="center"/>
          </w:tcPr>
          <w:p>
            <w:pPr>
              <w:pStyle w:val="TableContents"/>
              <w:bidi w:val="0"/>
              <w:spacing w:before="0" w:after="283"/>
              <w:jc w:val="left"/>
              <w:rPr/>
            </w:pPr>
            <w:r>
              <w:rPr/>
              <w:t>PERIOD_CLOSED</w:t>
            </w:r>
          </w:p>
        </w:tc>
        <w:tc>
          <w:tcPr>
            <w:tcW w:w="1101" w:type="dxa"/>
            <w:tcBorders/>
            <w:vAlign w:val="center"/>
          </w:tcPr>
          <w:p>
            <w:pPr>
              <w:pStyle w:val="TableContents"/>
              <w:bidi w:val="0"/>
              <w:spacing w:before="0" w:after="283"/>
              <w:jc w:val="left"/>
              <w:rPr/>
            </w:pPr>
            <w:r>
              <w:rPr/>
              <w:t>422</w:t>
            </w:r>
          </w:p>
        </w:tc>
        <w:tc>
          <w:tcPr>
            <w:tcW w:w="8143" w:type="dxa"/>
            <w:tcBorders/>
            <w:vAlign w:val="center"/>
          </w:tcPr>
          <w:p>
            <w:pPr>
              <w:pStyle w:val="TableContents"/>
              <w:bidi w:val="0"/>
              <w:spacing w:before="0" w:after="283"/>
              <w:jc w:val="left"/>
              <w:rPr/>
            </w:pPr>
            <w:r>
              <w:rPr/>
              <w:t>Financial period status (BR-04); confirm the entry's date against the period's date range</w:t>
            </w:r>
          </w:p>
        </w:tc>
      </w:tr>
      <w:tr>
        <w:trPr/>
        <w:tc>
          <w:tcPr>
            <w:tcW w:w="2095" w:type="dxa"/>
            <w:tcBorders/>
            <w:vAlign w:val="center"/>
          </w:tcPr>
          <w:p>
            <w:pPr>
              <w:pStyle w:val="TableContents"/>
              <w:bidi w:val="0"/>
              <w:spacing w:before="0" w:after="283"/>
              <w:jc w:val="left"/>
              <w:rPr/>
            </w:pPr>
            <w:r>
              <w:rPr/>
              <w:t>RATE_LIMITED</w:t>
            </w:r>
          </w:p>
        </w:tc>
        <w:tc>
          <w:tcPr>
            <w:tcW w:w="1101" w:type="dxa"/>
            <w:tcBorders/>
            <w:vAlign w:val="center"/>
          </w:tcPr>
          <w:p>
            <w:pPr>
              <w:pStyle w:val="TableContents"/>
              <w:bidi w:val="0"/>
              <w:spacing w:before="0" w:after="283"/>
              <w:jc w:val="left"/>
              <w:rPr/>
            </w:pPr>
            <w:r>
              <w:rPr/>
              <w:t>429</w:t>
            </w:r>
          </w:p>
        </w:tc>
        <w:tc>
          <w:tcPr>
            <w:tcW w:w="8143" w:type="dxa"/>
            <w:tcBorders/>
            <w:vAlign w:val="center"/>
          </w:tcPr>
          <w:p>
            <w:pPr>
              <w:pStyle w:val="TableContents"/>
              <w:bidi w:val="0"/>
              <w:spacing w:before="0" w:after="283"/>
              <w:jc w:val="left"/>
              <w:rPr/>
            </w:pPr>
            <w:r>
              <w:rPr/>
              <w:t>API Gateway rate-limit configuration (Section 10)</w:t>
            </w:r>
          </w:p>
        </w:tc>
      </w:tr>
    </w:tbl>
    <w:p>
      <w:pPr>
        <w:pStyle w:val="Heading2"/>
        <w:bidi w:val="0"/>
        <w:jc w:val="left"/>
        <w:rPr/>
      </w:pPr>
      <w:r>
        <w:rPr/>
        <w:t>14. Approval</w:t>
      </w:r>
    </w:p>
    <w:p>
      <w:pPr>
        <w:pStyle w:val="BodyText"/>
        <w:bidi w:val="0"/>
        <w:jc w:val="left"/>
        <w:rPr/>
      </w:pPr>
      <w:r>
        <w:rPr/>
        <w:t>Submitted for use by the IT Administrator and the engaged development team/technology partner as the Phase 1 operations reference, to be kept current as later phases add services and infrastructure.</w:t>
      </w:r>
    </w:p>
    <w:p>
      <w:pPr>
        <w:pStyle w:val="BodyText"/>
        <w:bidi w:val="0"/>
        <w:spacing w:before="150" w:after="283"/>
        <w:ind w:hanging="0" w:left="0" w:right="0"/>
        <w:jc w:val="left"/>
        <w:rPr>
          <w:b/>
        </w:rPr>
      </w:pPr>
      <w:r>
        <w:rPr>
          <w:b/>
        </w:rPr>
        <w:t>Obeke Godfrey</w:t>
      </w:r>
    </w:p>
    <w:p>
      <w:pPr>
        <w:pStyle w:val="BodyText"/>
        <w:bidi w:val="0"/>
        <w:spacing w:before="600" w:after="283"/>
        <w:ind w:hanging="0" w:left="0" w:right="0"/>
        <w:jc w:val="left"/>
        <w:rPr>
          <w:sz w:val="21"/>
          <w:bdr w:val="single" w:sz="2" w:space="3" w:color="333333"/>
        </w:rPr>
      </w:pPr>
      <w:r>
        <w:rPr>
          <w:sz w:val="21"/>
          <w:bdr w:val="single" w:sz="2" w:space="3" w:color="333333"/>
        </w:rPr>
        <w:t>Director — Prepared by — Signature &amp; Date</w:t>
      </w:r>
    </w:p>
    <w:p>
      <w:pPr>
        <w:pStyle w:val="BodyText"/>
        <w:bidi w:val="0"/>
        <w:spacing w:before="450" w:after="283"/>
        <w:ind w:hanging="0" w:left="0" w:right="0"/>
        <w:jc w:val="left"/>
        <w:rPr>
          <w:color w:val="666666"/>
          <w:sz w:val="18"/>
          <w:bdr w:val="single" w:sz="2" w:space="5" w:color="CCCCCC"/>
        </w:rPr>
      </w:pPr>
      <w:r>
        <w:rPr>
          <w:color w:val="666666"/>
          <w:sz w:val="18"/>
          <w:bdr w:val="single" w:sz="2" w:space="5" w:color="CCCCCC"/>
        </w:rPr>
        <w:t xml:space="preserve">Prepared with reference to: 07_System Design Document (v2.0); 08_Database Design Document; 09_API Specification; 10_Test Plan; 11_Deployment Plan; 13_Alpha Test Plan (operational drills, now standing runbooks); 14_User Manual (business-administration tasks, not duplicated here); 03_Feasibility Study (Section 7, data protection). </w:t>
      </w:r>
    </w:p>
    <w:p>
      <w:pPr>
        <w:pStyle w:val="Heading1"/>
      </w:pPr>
      <w:r>
        <w:t>15. Implementation Status Update (18 August 2026)</w:t>
      </w:r>
    </w:p>
    <w:p>
      <w:r>
        <w:t>Section 2's system overview does not describe the running system accurately at this stage: there are not eight independently deployable microservices behind an API Gateway, communicating via Kafka. There is one NestJS application (two modules: Identity, Organization) against one PostgreSQL database, run directly on a developer machine. Architecture gap — please read before relying on this update: the Group's own document set (07_System Design Document v2.0, ADR-02/03/04/05) records that Phase 1 was directed to be built as a full microservices architecture — eight independently deployable services plus an API Gateway, Kafka event streaming, a database-per-service pattern, and a full observability stack — superseding an earlier modular-monolith recommendation (03_Feasibility Study, Section 3.1.1). What is described below is that earlier, superseded monolith approach: a single NestJS application against one PostgreSQL database, with no API Gateway, no Kafka, no per-service databases, and no observability stack. It is offered as a fast proof-of-concept that validates the Sprint 1+2 business logic and data model end-to-end, not as a conforming implementation of the currently-approved architecture. Decomposing it into true microservices remains substantial, unstarted work.</w:t>
      </w:r>
    </w:p>
    <w:p>
      <w:r>
        <w:t>Section 4 (user/access administration) is usable today via the Users &amp; Roles screen and the underlying API. Sections 5 (monitoring), 6 (backup/restore beyond Docker volumes), 7 (incident runbooks), 8 (release administration), 9 (data administration beyond the seed script), and 10 (security administration beyond basic rate limiting and bcrypt hashing) all assume production infrastructure that does not exist yet and are not yet applicable.</w:t>
      </w:r>
    </w:p>
    <w:p>
      <w:r>
        <w:t>Code lives in mbms/, alongside this documentation set (docx/) and the Administrator/Customer mockups (screenshots/). See mbms/README.md for exact run instructions and seeded demo credentials.</w:t>
      </w:r>
    </w:p>
    <w:p>
      <w:pPr>
        <w:pStyle w:val="Heading1"/>
      </w:pPr>
      <w:r>
        <w:t>16. Implementation Status Update 2 (18 August 2026)</w:t>
      </w:r>
    </w:p>
    <w:p>
      <w:r>
        <w:t>Section 2's inaccuracy (this is one application, not eight services behind a Gateway) now extends to Employees and Accounting too — both were added as more modules of the same NestJS application, not new services. Architecture note, unchanged from the previous update: this remains the superseded v1.0 modular-monolith approach — one NestJS application, one PostgreSQL database, no API Gateway, no Kafka, no per-service databases, no observability stack — not the microservices architecture 07_System Design Document (v2.0) records as the Group's actual direction. Employees and Accounting were added as two more modules of that same application, not as new independent services.</w:t>
      </w:r>
    </w:p>
    <w:p>
      <w:r>
        <w:t>Section 9's cross-service data correction guidance is now concretely relevant: employees.company_id and accounts.company_id are logical references to the Organization module with no database-level foreign key, exactly as Section 9 warns — a deleted (deactivated, in this system) company would silently orphan employee and accounting records with no database error, matching this document's own description of the risk.</w:t>
      </w:r>
    </w:p>
    <w:p>
      <w:r>
        <w:t>See mbms/README.md for exact run instructions and seeded demo credentials.</w:t>
      </w:r>
    </w:p>
    <w:p>
      <w:pPr>
        <w:pStyle w:val="Heading1"/>
      </w:pPr>
      <w:r>
        <w:t>17. Implementation Status Update 3 (18 August 2026)</w:t>
      </w:r>
    </w:p>
    <w:p>
      <w:r>
        <w:t>Customers and Suppliers were added as two more modules of the same application, not new services — Section 2's inaccuracy and Section 9's cross-service data correction guidance (no database-level FK from customers.company_id or suppliers.company_id back to Organization) both extend to these two services the same way they already applied to Employees.</w:t>
      </w:r>
    </w:p>
    <w:p>
      <w:r>
        <w:t>Architecture note, unchanged from the previous two updates: Customers and Suppliers were added as two more modules of the same single NestJS application — still not the microservices architecture 07_System Design Document (v2.0) records as the Group's actual direction. See mbms/README.md for exact run instructions and seeded demo credentials.</w:t>
      </w:r>
    </w:p>
    <w:p>
      <w:pPr>
        <w:pStyle w:val="Heading1"/>
      </w:pPr>
      <w:r>
        <w:t>18. Implementation Status Update 4 (18 August 2026)</w:t>
      </w:r>
    </w:p>
    <w:p>
      <w:r>
        <w:t>Products was added as one more module of the same application, extending Section 2's inaccuracy and Section 9's cross-service data correction guidance (no database-level FK from products.company_id back to Organization) the same way as every prior addition. Architecture note, unchanged since the first update: Products was added as one more module of the same single NestJS application — still not the microservices architecture 07_System Design Document (v2.0) records as the Group's actual direction. See mbms/README.md for exact run instructions and seeded demo credentials.</w:t>
      </w:r>
    </w:p>
    <w:p>
      <w:pPr>
        <w:pStyle w:val="Heading1"/>
      </w:pPr>
      <w:r>
        <w:t>19. Implementation Status Update 5 (18 August 2026) — Every Section 3 Service Has Code</w:t>
      </w:r>
    </w:p>
    <w:p>
      <w:r>
        <w:t>The Audit &amp; Reporting Service's read-only endpoint now has working code, completing Section 3's list. Section 13's technical error code reference now has a live example for FORBIDDEN worth noting: every 403 this system returns is now also recorded as an access_denied audit_logs row automatically, which Section 7.4 (suspected unauthorized access runbook) can rely on directly — 'search the Audit Trail for the account and time window in question, including any access_denied entries' is executable exactly as written for the first time.</w:t>
      </w:r>
    </w:p>
    <w:p>
      <w:r>
        <w:t>Architecture note, unchanged since the first update: the Audit Trail was built as a shared, in-process AuditService every module calls directly and synchronously — not the Kafka-consuming Audit &amp; Reporting Service 07_System Design Document (v2.0) specifies. Functionally equivalent (the same event data lands in the same table shape), but a synchronous in-process call standing in for what should be an async publish/consume pair across independently deployable services. See mbms/README.md for exact run instructions and seeded demo credentials.</w:t>
      </w:r>
    </w:p>
    <w:p>
      <w:pPr>
        <w:pStyle w:val="Heading1"/>
      </w:pPr>
      <w:r>
        <w:t>20. Implementation Status Update 6 (18 August 2026) — Identity Corrections</w:t>
      </w:r>
    </w:p>
    <w:p>
      <w:r>
        <w:t>Section 3's Identity Service description is unchanged at the service-boundary level; two field/endpoint-level gaps under it are now closed (department scope, direct permission grant) — see mbms/README.md for the full detail. Section 7's runbooks are unaffected. One addition worth making to this manual's own content the next time it is revised: a short procedure for granting a single permission directly to a user via the new Direct Permissions panel, for the case an administrator needs to give someone one capability (e.g. audit.view) without assigning them a whole role that carries more than intended.</w:t>
      </w:r>
    </w:p>
    <w:p>
      <w:r>
        <w:t>See mbms/README.md, "Sprint 1 verification pass", for the full detail and verification method.</w:t>
      </w:r>
    </w:p>
    <w:p>
      <w:pPr>
        <w:pStyle w:val="Heading1"/>
      </w:pPr>
      <w:r>
        <w:t>21. Implementation Status Update 7 (18 August 2026) — Organization Corrections</w:t>
      </w:r>
    </w:p>
    <w:p>
      <w:r>
        <w:t>Section 3's Organization Service description is unchanged at the service-boundary level; the field/endpoint-level gaps under it are now closed (relationship type, ownership percentage, logo URL) — see mbms/README.md for full detail. One addition worth making to this manual the next time it is revised: which roles can currently create or edit a company (Super Administrator, IT Administrator) — this was not previously documented anywhere an administrator would think to look, which is part of why the demo-reachability gap this update fixed went unnoticed for six prior status updates.</w:t>
      </w:r>
    </w:p>
    <w:p>
      <w:r>
        <w:t>See mbms/README.md, "Sprint 2 verification pass", for the full detail and verification method.</w:t>
      </w:r>
    </w:p>
    <w:p>
      <w:pPr>
        <w:pStyle w:val="Heading1"/>
      </w:pPr>
      <w:r>
        <w:t>22. Implementation Status Update 8 (18 August 2026) — Employee Service Corrections</w:t>
      </w:r>
    </w:p>
    <w:p>
      <w:r>
        <w:t>Section 3's Employee Service description is unchanged at the service-boundary level; the field/UI-level gaps under it are now closed (job description, qualifications, and the full create-form field set) — see mbms/README.md for full detail.</w:t>
      </w:r>
    </w:p>
    <w:p>
      <w:r>
        <w:t>See mbms/README.md, "Sprint 3 verification pass", for the full detail and verification method.</w:t>
      </w:r>
    </w:p>
    <w:p>
      <w:pPr>
        <w:pStyle w:val="Heading1"/>
      </w:pPr>
      <w:r>
        <w:t>23. Implementation Status Update 9 (18 August 2026) — Customer/Supplier Corrections</w:t>
      </w:r>
    </w:p>
    <w:p>
      <w:r>
        <w:t>Section 3's Customer and Supplier Service descriptions are unchanged at the service-boundary level; the field/UI-level gaps under them are now closed (contract reference/expiry, and the full create-form field sets for both) — see mbms/README.md for full detail.</w:t>
      </w:r>
    </w:p>
    <w:p>
      <w:r>
        <w:t>See mbms/README.md, "Sprint 4 verification pass", for the full detail and verification method.</w:t>
      </w:r>
    </w:p>
    <w:p>
      <w:pPr>
        <w:pStyle w:val="Heading1"/>
      </w:pPr>
      <w:r>
        <w:t>24. Implementation Status Update 10 (18 August 2026) — Product Service Corrections</w:t>
      </w:r>
    </w:p>
    <w:p>
      <w:r>
        <w:t>Section 3's Product Service description is unchanged at the service-boundary level; the field/audit/UI-level gaps under it are now closed (product type, update/category audit coverage, barcode/description on the create form) — see mbms/README.md for full detail. Scope note: the request that opened this sprint also named "warehouses," but 04_Software Requirements Specification, Section 4.8's own text explicitly defers stock locations, warehouses, stock movements and inventory valuation to Phase 2 — the same boundary already held for every other Phase 2+ feature throughout this project. Asked how to handle the mismatch, the choice was to keep this pass scoped to Products/Categories only, consistent with that boundary — no warehouse or stock-location code was added.</w:t>
      </w:r>
    </w:p>
    <w:p>
      <w:pPr>
        <w:pStyle w:val="Heading1"/>
      </w:pPr>
      <w:r>
        <w:t>25. Implementation Status Update 11 (18 August 2026) — Accounting/Dashboard Corrections</w:t>
      </w:r>
    </w:p>
    <w:p>
      <w:r>
        <w:t>Scope note: the request that opened this sprint named "Procurement, purchase orders and goods received" — none of which appear anywhere in 04_Software Requirements Specification's Phase 1 scope (FR-SUPP-02's own deferred note explicitly pushes purchase requisitions/orders to Phase 2), and none of which match what 17_Development Plan actually calls Sprint 6 ("Accounting completion, Dashboard, Audit Trail"). Asked how to handle the mismatch, the choice was to re-verify the actual Sprint 6 instead, the same method as Sprints 1-5, rather than starting new, unscoped Phase 2 work. No Procurement/PO/GRN code was added.</w:t>
      </w:r>
    </w:p>
    <w:p>
      <w:r>
        <w:t>Section 3's Accounting and Dashboard descriptions are unchanged at the service-boundary level; the report/field-level gaps under them are now closed (general ledger report, finance-user-reachable accounting summary) — see mbms/README.md for full detail.</w:t>
      </w:r>
    </w:p>
    <w:p>
      <w:r>
        <w:t>See mbms/README.md, "Sprint 6 verification pass", for the full detail and verification method.</w:t>
      </w:r>
    </w:p>
    <w:p>
      <w:pPr>
        <w:pStyle w:val="Heading1"/>
      </w:pPr>
      <w:r>
        <w:t>26. Implementation Status Update 12 (18 August 2026) — Security Posture Confirmed</w:t>
      </w:r>
    </w:p>
    <w:p>
      <w:r>
        <w:t>Scope note: the request that opened this sprint named "Sales, invoices and receipts" — explicitly Phase 2 in 04_Software Requirements Specification's own phasing text, and with no existing code to verify, unlike Sprint 6 which had real code under a mismatched label. The actual Sprint 7 per 17_Development Plan is "Contract, system and security testing." Asked how to handle the mismatch, the choice was to run that instead. No Sales/Invoice/Receipt code was added.</w:t>
      </w:r>
    </w:p>
    <w:p>
      <w:r>
        <w:t>Section 7's runbooks (including the suspected-unauthorized-access one that already references the Audit Trail) are unaffected by this update. Worth adding to this manual when next revised: the confirmed rate-limiting behavior (10 requests/minute/IP on authentication endpoints) as a fact an administrator explaining a locked-out user's experience might need.</w:t>
      </w:r>
    </w:p>
    <w:p>
      <w:r>
        <w:t>See mbms/README.md, "Sprint 7: security testing pass", for the full detail and verification method.</w:t>
      </w:r>
    </w:p>
    <w:p>
      <w:pPr>
        <w:pStyle w:val="Heading1"/>
      </w:pPr>
      <w:r>
        <w:t>27. Implementation Status Update 13 (18 August 2026) — Security Fix Applied</w:t>
      </w:r>
    </w:p>
    <w:p>
      <w:r>
        <w:t>Scope note: the request that opened this sprint named "Inventory" — explicitly Phase 2 in 04_Software Requirements Specification's own phasing text, with no existing code to verify. The actual Sprint 8 per 17_Development Plan is "Performance testing, Alpha testing, UAT begins." Asked how to handle the mismatch, the choice was to run that instead. No Inventory code was added.</w:t>
      </w:r>
    </w:p>
    <w:p>
      <w:r>
        <w:t>CRITICAL finding, fixed: Employees, Customers, Suppliers and Products' list() methods each used a caller-supplied filter[companyId] query parameter verbatim, with no check that it was actually one of the caller's own scoped companies — a scoped user (e.g. an HR Manager scoped only to one subsidiary) could pass filter[companyId]=&lt;any other company&gt; and receive that company's real records, including unmasked bank account numbers for Employees where the caller held employee.view.sensitive for their own company. This is a direct BR-01 violation. Found via 13_Alpha Test Plan Section 5.2's exploratory checklist (browsing for a module reachable by a role that shouldn't have access), not a scripted test case. Fixed in all four services: an out-of-scope filter[companyId] now falls back to the caller's real scope instead of being honored. Verified with the exact attack that found it, across all four services, plus confirmation that legitimate own-scope filtering still works normally. Worth adding to this manual's incident-response guidance when next revised: this class of bug (a caller-supplied filter overriding rather than intersecting with server-side scope) is worth specifically checking for in any future list endpoint this system adds.</w:t>
      </w:r>
    </w:p>
    <w:p>
      <w:r>
        <w:t>See mbms/README.md, "Sprint 8: performance, Alpha and UAT pass", for the full detail and verification method.</w:t>
      </w:r>
    </w:p>
    <w:p>
      <w:pPr>
        <w:pStyle w:val="Heading1"/>
      </w:pPr>
      <w:r>
        <w:t>28. Implementation Status Update 14 (18 August 2026) — New Expense Permissions</w:t>
      </w:r>
    </w:p>
    <w:p>
      <w:r>
        <w:t>Scope note: same as this document's pattern since Sprint 6 — this sprint's request needed no redirect, since it named genuinely new Phase 2 work.</w:t>
      </w:r>
    </w:p>
    <w:p>
      <w:r>
        <w:t>Four new permissions join this manual's permission catalogue: expense.create (submit a claim for yourself — granted to every seeded role except Auditor), expense.viewAll (see every company's claims, not just your own or ones awaiting your approval — granted to Super Administrator, Managing Director, Group CEO and Auditor), expense.approve.manager (approve/reject at the manager step — granted to Branch Manager, Human Resources Manager, Sales Manager, Procurement Manager) and expense.approve.finance (approve/reject at the finance step, and pay/post an approved claim — granted to Finance Manager). Auditor holds expense.viewAll only, no create/approve/pay permission, preserving the read-only guarantee this manual documents for that role elsewhere.</w:t>
      </w:r>
    </w:p>
    <w:p>
      <w:r>
        <w:t>One known limitation, not fixed this sprint: nothing stops a user who holds both expense.create and expense.approve.manager (e.g. Branch Manager) from approving their own submitted claim — there is no submitter-!=-approver check. Worth a Board decision on whether that separation-of-duties control is required before Expenses reaches production use.</w:t>
      </w:r>
    </w:p>
    <w:p>
      <w:r>
        <w:t>See mbms/README.md, “Sprint 9”, for the full detail and verification method.</w:t>
      </w:r>
    </w:p>
    <w:p>
      <w:pPr>
        <w:pStyle w:val="Heading1"/>
      </w:pPr>
      <w:r>
        <w:t>29. Implementation Status Update 15 (18 August 2026) — No New Permissions</w:t>
      </w:r>
    </w:p>
    <w:p>
      <w:r>
        <w:t>Scope note: unlike Sprint 9 (a new module needing four new permissions), Sprint 10 deepens the existing Accounting module — no new permission was needed.</w:t>
      </w:r>
    </w:p>
    <w:p>
      <w:r>
        <w:t>Recurring entry creation/generation and the new report endpoints all reuse the existing accounting.manage (create/generate) and accounting.viewAll/scope (view) permissions already documented for Accounts, Financial Periods and Journal Entries. Whoever could already manage a company's chart of accounts can now also create and generate recurring entry templates for it; whoever could already view a company's trial balance can now also view its Income Statement, Balance Sheet, and (for Group-level viewAll holders) the consolidated versions of both.</w:t>
      </w:r>
    </w:p>
    <w:p>
      <w:r>
        <w:t>See mbms/README.md, “Sprint 10”, for the full detail and verification method.</w:t>
      </w:r>
    </w:p>
    <w:p>
      <w:pPr>
        <w:pStyle w:val="Heading1"/>
      </w:pPr>
      <w:r>
        <w:t>30. Implementation Status Update 16 (18 August 2026) — New Asset Permissions</w:t>
      </w:r>
    </w:p>
    <w:p>
      <w:r>
        <w:t>Scope note: Sprint 11 adds three new permissions, the same class of addition Sprint 9 made for Expenses.</w:t>
      </w:r>
    </w:p>
    <w:p>
      <w:r>
        <w:t>New permissions: asset.manage (Super Administrator, Finance Manager, Procurement Manager), asset.viewAll (Super Administrator, Managing Director, Group CEO, Auditor — read-only for Auditor), and asset.approve.disposal (Super Administrator, Finance Manager, Managing Director — 05_Business Process Document's disposal workflow names its second step “Management Approval” directly).</w:t>
      </w:r>
    </w:p>
    <w:p>
      <w:r>
        <w:t>See mbms/README.md, “Sprint 11”, for the full detail and verification method.</w:t>
      </w:r>
    </w:p>
    <w:p>
      <w:pPr>
        <w:pStyle w:val="Heading1"/>
      </w:pPr>
      <w:r>
        <w:t>31. Implementation Status Update 17 (18 August 2026) — New Project Permissions</w:t>
      </w:r>
    </w:p>
    <w:p>
      <w:r>
        <w:t>Scope note: Sprint 12 adds two new permissions, the same class of addition Sprints 9 and 11 made.</w:t>
      </w:r>
    </w:p>
    <w:p>
      <w:r>
        <w:t>New permissions: project.manage (Super Administrator, Managing Director, Finance Manager — profitability review is financial/executive oversight) and project.viewAll (adds Group CEO and Auditor, read-only for Auditor). No new “Project Manager” demo persona was seeded — see mbms/README.md, “Judgment calls,” item 14.</w:t>
      </w:r>
    </w:p>
    <w:p>
      <w:r>
        <w:t>See mbms/README.md, “Sprint 12”, for the full detail and verification method.</w:t>
      </w:r>
    </w:p>
    <w:p>
      <w:pPr>
        <w:pStyle w:val="Heading1"/>
      </w:pPr>
      <w:r>
        <w:t>32. Implementation Status Update 18 (18 August 2026) — No New Permissions</w:t>
      </w:r>
    </w:p>
    <w:p>
      <w:r>
        <w:t>Scope note: unlike every module sprint since Sprint 9, Sprint 13 introduced zero new permissions — a deliberate choice, not an oversight.</w:t>
      </w:r>
    </w:p>
    <w:p>
      <w:r>
        <w:t>Each report endpoint reuses exactly the permission its underlying data already requires: organization.company.viewAll (companies), employee.manage/employee.viewAll (employees), audit.view (audit trail), and scope-only, no special permission (customers, suppliers, accounting) — matching each source screen's real access rule precisely, so this manual's existing permission table needs no update.</w:t>
      </w:r>
    </w:p>
    <w:p>
      <w:r>
        <w:t>See mbms/README.md, “Sprint 13”, for the full detail and verification method.</w:t>
      </w:r>
    </w:p>
    <w:p>
      <w:pPr>
        <w:pStyle w:val="Heading1"/>
      </w:pPr>
      <w:r>
        <w:t>33. Implementation Status Update 19 (18 August 2026) — No New Permissions</w:t>
      </w:r>
    </w:p>
    <w:p>
      <w:r>
        <w:t>Scope note: like Sprint 13, Sprint 14 introduced zero new permissions.</w:t>
      </w:r>
    </w:p>
    <w:p>
      <w:r>
        <w:t>Every notification endpoint is scoped implicitly to the caller's own userId server-side — there is nothing to permission-gate beyond being logged in, since a notification is inherently personal. Dashboard's new fields reuse each module's own existing permission exactly as FR-DASH-02 already established the pattern for accounting.</w:t>
      </w:r>
    </w:p>
    <w:p>
      <w:r>
        <w:t>See mbms/README.md, “Sprint 14”, for the full detail and verification method.</w:t>
      </w:r>
    </w:p>
    <w:p>
      <w:pPr>
        <w:pStyle w:val="Heading1"/>
      </w:pPr>
      <w:r>
        <w:t>34. Implementation Status Update 20 (19 August 2026) — Two New Group-Wide-Only Permissions</w:t>
      </w:r>
    </w:p>
    <w:p>
      <w:r>
        <w:t>Scope note: requested directly against morise.docx, Section 2.</w:t>
      </w:r>
    </w:p>
    <w:p>
      <w:r>
        <w:t>Two new permissions: organization.intercompany.manage and organization.intercompany.viewAll, both deliberately group-wide only — unlike every earlier “manage”/“viewAll” pair in this system, neither has a scoped, single-company variant, since an inter-company transaction inherently spans two companies and no single company's scope could correctly gate it. Seeded to Super Administrator, Managing Director and Finance Manager (both permissions), Group CEO and Auditor (viewAll only). Company policy writes reuse the existing organization.company.manage permission — no new permission needed there.</w:t>
      </w:r>
    </w:p>
    <w:p>
      <w:r>
        <w:t>See mbms/README.md, “Company and Holdings Management,” for the full detail and verification method.</w:t>
      </w:r>
    </w:p>
    <w:p>
      <w:pPr>
        <w:pStyle w:val="Heading1"/>
      </w:pPr>
      <w:r>
        <w:t>35. Implementation Status Update 21 (19 August 2026) — Dashboard Deepening</w:t>
      </w:r>
    </w:p>
    <w:p>
      <w:r>
        <w:t>Scope note: this update was requested directly against a full Holding Company / Subsidiary Dashboard KPI list (companies, branches, employees, customers, suppliers, assets, revenue, expenses, net profit, cash position, bank balances, outstanding receivables/payables, current projects, pending approvals, outstanding loans, inventory value, sales performance, procurement performance, employee statistics, company performance comparison, four monthly charts, and financial/operational alerts), not a numbered sprint from Multi_Holdings_Limited_Software_Development_Procedures.docx's Section 12 table (already complete except Sprints 6-8) or the request from earlier the same day (Company and Holdings Management Deepening, Update 20).</w:t>
      </w:r>
    </w:p>
    <w:p>
      <w:r>
        <w:t>Built: a deepened Holding Company Dashboard (group-wide financial position, four monthly charts, financial/operational alerts, employee statistics, company performance comparison, outstanding inter-company loans) and a deepened Subsidiary Dashboard (the same financial/chart blocks, scoped and permission-gated per company). Inventory value, sales performance and procurement performance are honestly reported as not available — no such module exists in this codebase.</w:t>
      </w:r>
    </w:p>
    <w:p>
      <w:r>
        <w:t>See mbms/README.md, "Dashboard Deepening — Holding Company &amp; Subsidiary KPI Set", for the full detail and verification method.</w:t>
      </w:r>
    </w:p>
    <w:p>
      <w:pPr>
        <w:pStyle w:val="Heading1"/>
      </w:pPr>
      <w:r>
        <w:t>36. Implementation Status Update 22 (19 August 2026) — All 23 Roles Now Functional</w:t>
      </w:r>
    </w:p>
    <w:p>
      <w:r>
        <w:t>Scope note: this update was requested directly against a full RBAC feature list — a User Management capability bullet list (create/edit/activate-deactivate/reset password/change password/lock accounts/manage profiles/assign companies-branches-departments/assign roles/assign permissions/restrict access to modules, companies, branches, financial information and sensitive documents) and the 23-role catalogue (Super Administrator through Read-only User) — not a numbered sprint or either of the two dashboard/company-holdings passes from earlier the same day.</w:t>
      </w:r>
    </w:p>
    <w:p>
      <w:r>
        <w:t>An administrator assigning any of the 14 previously-empty roles (Chief Financial Officer, Accountant, Operations Manager, Project Manager, Inventory Manager, Warehouse Manager, Legal Officer, Customer Service Officer, Employee, External Auditor, Board Member, Investor, Read-only User) to a user will now see that grant actually take effect — previously the role assignment succeeded but conferred no access at all, a silent gap this manual had no way of flagging since the assignment API call itself always returned success. Built: all 23 catalogue roles are now permissioned (14 of them — Chief Financial Officer, Accountant, Operations Manager, Project Manager, Inventory Manager, Warehouse Manager, Legal Officer, Customer Service Officer, Employee, External Auditor, Board Member, Investor, Read-only User — existed as role rows since Sprint 1 but had never been given a single permission), plus a new self-service POST /identity/users/me/change-password endpoint (distinct from the existing admin-initiated reset and the unauthenticated forgot-password flow). No new permission or schema migration was needed for the role work; the new endpoint reuses the existing IsStrongPassword validator and audit pattern.</w:t>
      </w:r>
    </w:p>
    <w:p>
      <w:r>
        <w:t>Verified end-to-end with a curl matrix: GET /identity/roles confirms all 23 roles now carry their expected permission count; a live test user assigned only the new Accountant role correctly receives FORBIDDEN calling both an identity.user.manage-gated and an organization.company.viewAll-gated endpoint; self-service change-password correctly rejects a wrong current password, succeeds with the right one, revokes the old password and produces a matching audit entry; the admin reset-password audit fix was verified the same way. A live browser/Playwright pass was not available this session — API-level verification only via curl, plus a clean vite build confirming the new Change Password UI compiles.</w:t>
      </w:r>
    </w:p>
    <w:p>
      <w:pPr>
        <w:pStyle w:val="Heading1"/>
      </w:pPr>
      <w:r>
        <w:t>37. Implementation Status Update 23 (19 August 2026) — HR Module Deepening</w:t>
      </w:r>
    </w:p>
    <w:p>
      <w:r>
        <w:t>Scope note: this update was requested directly against a full HR feature list — Employee Management, Recruitment, Attendance, Leave Management and Performance Management — opening with "The HR module should manage employees across all companies," not a numbered sprint or either pass earlier the same day.</w:t>
      </w:r>
    </w:p>
    <w:p>
      <w:r>
        <w:t>Built: Employee Management was re-verified (one gap closed — a real employment-history table, plus a document-reference field). Four entirely new modules were built: Recruitment (vacancy approval workflow through application/interview/offer, ending in onboarding into a real employee record), Attendance (self-service clock-in/out against an assigned shift, or HR-recorded for employees without a login), Leave (five leave types, balance-checked approval), and Performance (review cycles, objectives/KPIs, self- and manager-assessment). Migration: hr_module_recruitment_attendance_leave_performance (eleven new tables, two new employees columns). Ten new permissions; no existing permission was changed.</w:t>
      </w:r>
    </w:p>
    <w:p>
      <w:r>
        <w:t>Two real gaps were found and fixed during this pass: a self-service scope-gating bug in Performance (an ordinary employee reading or submitting their own review could be incorrectly blocked, since the original code path required company-wide scope even for pure self-access), and a demo-reachability gap where the HR Manager persona's single-company scope meant no seeded user could reach three of the four new modules' management actions for one subsidiary at all.</w:t>
      </w:r>
    </w:p>
    <w:p>
      <w:r>
        <w:t>See mbms/README.md, "HR Module Deepening — Recruitment, Attendance, Leave, Performance", for the full detail and verification method.</w:t>
      </w:r>
    </w:p>
    <w:p>
      <w:pPr>
        <w:pStyle w:val="Heading1"/>
      </w:pPr>
      <w:r>
        <w:t>38. Implementation Status Update 24 (19 August 2026) — Orders and Support Tickets Screens Added</w:t>
      </w:r>
    </w:p>
    <w:p>
      <w:r>
        <w:t>Scope note: requested directly against three related asks handled in one session — build the customer storefront, make it responsive, and add a public landing page with a disclaimer — not a numbered sprint.</w:t>
      </w:r>
    </w:p>
    <w:p>
      <w:r>
        <w:t>Built: an Orders screen (sidebar, between Products and Accounting) lists every order in your scope with a status badge; holders of sales.order.manage (Super Administrator, Sales Manager, Branch Manager) see per-row action buttons that advance an order one fulfillment step at a time (Confirm, Mark Packed, Dispatch, Mark Delivered) or cancel it while still placed/confirmed — holders of only sales.order.viewAll (Managing Director, Group CEO, Auditor) see the same list read-only. A Support Tickets screen lists every ticket in your scope with priority/status badges; holders of support.ticket.manage (Super Administrator, Customer Service Officer, and IT Administrator standing in for the unseeded Customer Service Officer demo persona) can open a ticket, read its full customer/staff thread, reply, and mark it resolved. Neither screen exists for a customer to see directly — a customer's own equivalent is their separate storefront app's My Orders and Support screens, backed by the same data.</w:t>
      </w:r>
    </w:p>
    <w:p>
      <w:r>
        <w:t>See mbms/README.md, "Sprint 16: Customer Storefront", for the full detail and verification method.</w:t>
      </w:r>
    </w:p>
    <w:p>
      <w:pPr>
        <w:pStyle w:val="Heading1"/>
      </w:pPr>
      <w:r>
        <w:t>39. Implementation Status Update 25 (19 August 2026) — Financial Module Deepening</w:t>
      </w:r>
    </w:p>
    <w:p>
      <w:r>
        <w:t>Scope note: this update was requested directly against a full Financial Module feature list — General Ledger gaps, Accounts Receivable, Accounts Payable, and five new Financial Statements — opening with "The financial module should be one of the core components of the system." Not a numbered sprint or any of the three passes earlier the same day.</w:t>
      </w:r>
    </w:p>
    <w:p>
      <w:r>
        <w:t>Built: closing entries (a real journal entry zeroing revenue/expense into Retained Earnings on period close), adjusting-entry tagging, account reconciliation, and budgets on the General Ledger side; a new Accounts Payable subledger (supplier invoices with a draft-approve-pay workflow, payments, credit notes, aging, statements); Accounts Receivable deepened with credit/debit notes and staff-facing aging/statements on top of the existing Order/Invoice/Payment system (see the correction note below); and four new report endpoints — Cash Flow Statement, Statement of Changes in Equity, Financial Ratios, Budget vs Actual, and a Management Accounts bundle.</w:t>
      </w:r>
    </w:p>
    <w:p>
      <w:r>
        <w:t>A real duplication was found and corrected before any service code shipped: this pass's first draft of Accounts Receivable defined its own customer invoice/payment tables, and a routine database check found a complete Order-to-Invoice-to-Payment system already built by a different, concurrently-running session (the "Customer Storefront" work also reflected in this docx set's own Update 24 entries). The duplicate tables were deleted before any code referenced them; Accounts Receivable was built against the real existing models instead. This is the second time this project has had two sessions modifying the same live database concurrently the same day — the migration tracking table needed re-baselining three times as a result, a recovered environment issue, not data loss.</w:t>
      </w:r>
    </w:p>
    <w:p>
      <w:r>
        <w:t>See mbms/README.md, "Financial Module Deepening", for the full detail and verification method.</w:t>
      </w:r>
    </w:p>
    <w:p>
      <w:pPr>
        <w:pStyle w:val="Heading1"/>
      </w:pPr>
      <w:r>
        <w:t>40. Implementation Status Update 26 (27 August 2026) — Admin Navigation Redesign</w:t>
      </w:r>
    </w:p>
    <w:p>
      <w:pPr>
        <w:pStyle w:val="BodyText"/>
      </w:pPr>
      <w:r>
        <w:t>On 27 August 2026 the staff Admin application's navigation was reorganised from a single flat list of 21 links into four collapsible, self-remembering categories, to match the agreed screen taxonomy captured in four reference screenshots dated 27 August 2026 (see the screenshots/ folder).</w:t>
      </w:r>
    </w:p>
    <w:p>
      <w:pPr>
        <w:pStyle w:val="BodyText"/>
      </w:pPr>
      <w:r>
        <w:t>The four categories and their menu items are:</w:t>
      </w:r>
    </w:p>
    <w:p>
      <w:pPr>
        <w:pStyle w:val="BodyText"/>
      </w:pPr>
      <w:r>
        <w:t>•  Admin / Backend: Dashboard, Companies &amp; Holdings, Product Manager, Order Management, Inventory*, Customers (CRM), Support Tickets, Marketing &amp; Promos*, CMS / Site Builder*, Users &amp; Settings, Activity Log.</w:t>
      </w:r>
    </w:p>
    <w:p>
      <w:pPr>
        <w:pStyle w:val="BodyText"/>
      </w:pPr>
      <w:r>
        <w:t>•  Human Resources: HR Dashboard*, Employees, Departments*, Attendance, Leave Requests, Shift Scheduling*, Recruitment, Payroll*.</w:t>
      </w:r>
    </w:p>
    <w:p>
      <w:pPr>
        <w:pStyle w:val="BodyText"/>
      </w:pPr>
      <w:r>
        <w:t>•  My HR (employee self-service): My Profile, Clock In / Out*, My Leave*, My Shifts*, My Performance*, My Payslips*, My Salary Advances*.</w:t>
      </w:r>
    </w:p>
    <w:p>
      <w:pPr>
        <w:pStyle w:val="BodyText"/>
      </w:pPr>
      <w:r>
        <w:t>•  Financial &amp; Accounting: Financial &amp; Accounting (overview)*, General Ledger &amp; Journals, Accounts Payable, Expenses, Assets, Projects, Reports, Suppliers, Inter-Company.</w:t>
      </w:r>
    </w:p>
    <w:p>
      <w:pPr>
        <w:pStyle w:val="BodyText"/>
      </w:pPr>
      <w:r>
        <w:t>Items marked with an asterisk (*) are part of the taxonomy but have no backend service in the current slice. In the application they render as navigable “Planned” placeholder screens so the structure has no dead links. Every previously working screen remains available — it has only been regrouped, and in some cases relabelled (Companies → Companies &amp; Holdings, Products → Product Manager, Orders → Order Management, Users &amp; Roles → Users &amp; Settings, Audit Trail → Activity Log, Accounting → General Ledger &amp; Journals, Leave → Leave Requests). Suppliers moved under Financial &amp; Accounting; Performance is no longer a top-level link (manager-side access is retained via /performance and the HR flows, and “My Performance” is the self-service entry).</w:t>
      </w:r>
    </w:p>
    <w:p>
      <w:pPr>
        <w:pStyle w:val="BodyText"/>
      </w:pPr>
      <w:r>
        <w:t>This is a front-end-only change: NAV_GROUPS taxonomy and a collapsible category component in mbms/frontend/src/components/Layout.jsx, a shared ComingSoon placeholder component, 14 placeholder routes in App.jsx, and sidebar styles in app.css. There is no API, database schema, or data-migration impact. Verified with a production vite build (62 modules, no errors) and a headless screenshot of the running dev server.</w:t>
      </w:r>
    </w:p>
    <w:p>
      <w:pPr>
        <w:pStyle w:val="Heading2"/>
      </w:pPr>
      <w:r>
        <w:t>Impact on this document</w:t>
      </w:r>
    </w:p>
    <w:p>
      <w:pPr>
        <w:pStyle w:val="BodyText"/>
      </w:pPr>
      <w:r>
        <w:t>Administrator menu map: Admin / Backend holds Dashboard, Companies &amp; Holdings, Product Manager, Order Management, Customers (CRM), Support Tickets, Users &amp; Settings and Activity Log (plus planned Inventory, Marketing &amp; Promos, CMS / Site Builder). Human Resources holds Employees, Attendance, Leave Requests and Recruitment (plus planned HR Dashboard, Departments, Shift Scheduling, Payroll). My HR is employee self-service. Financial &amp; Accounting holds General Ledger &amp; Journals, Accounts Payable, Expenses, Assets, Projects, Reports, Suppliers and Inter-Company (plus a planned overview). Access to each screen is still governed by the user's roles and scope, unchanged by this reorganisation.</w:t>
      </w:r>
    </w:p>
    <w:p>
      <w:pPr>
        <w:pStyle w:val="Heading1"/>
      </w:pPr>
      <w:r>
        <w:t>41. Implementation Status Update 27 (27 August 2026) — Delegated Administration (Grant Authority)</w:t>
      </w:r>
    </w:p>
    <w:p>
      <w:pPr>
        <w:pStyle w:val="BodyText"/>
      </w:pPr>
      <w:r>
        <w:t>Every admin user may only view, create, update, delete and execute the operations that have been granted to them — enforced per request by the permission guard, which re-derives the user's roles and permissions from the database on every call. On 27 August 2026 the model for HOW those grants are made was tightened: roles and direct permissions may now only be granted or revoked by three business grantor roles, each within a bounded authority.</w:t>
      </w:r>
    </w:p>
    <w:p>
      <w:pPr>
        <w:pStyle w:val="BodyText"/>
      </w:pPr>
      <w:r>
        <w:t>Grantor authority:</w:t>
      </w:r>
    </w:p>
    <w:p>
      <w:pPr>
        <w:pStyle w:val="BodyText"/>
      </w:pPr>
      <w:r>
        <w:t>•  Managing Director: may delegate any role and any permission (every domain), to any user, group-wide.</w:t>
      </w:r>
    </w:p>
    <w:p>
      <w:pPr>
        <w:pStyle w:val="BodyText"/>
      </w:pPr>
      <w:r>
        <w:t>•  Branch Manager: may delegate only “operations”-domain permissions (and roles composed only of them), and only to users inside their own company/branch scope.</w:t>
      </w:r>
    </w:p>
    <w:p>
      <w:pPr>
        <w:pStyle w:val="BodyText"/>
      </w:pPr>
      <w:r>
        <w:t>•  Human Resources Manager: may delegate only “hr”-domain permissions, and only to users inside their own company/branch scope.</w:t>
      </w:r>
    </w:p>
    <w:p>
      <w:pPr>
        <w:pStyle w:val="BodyText"/>
      </w:pPr>
      <w:r>
        <w:t>•  Super Administrator / IT Administrator: retain unbounded grant authority as the platform bootstrap / break-glass path (they hold identity.user.manage).</w:t>
      </w:r>
    </w:p>
    <w:p>
      <w:pPr>
        <w:pStyle w:val="BodyText"/>
      </w:pPr>
      <w:r>
        <w:t>Mechanism: every permission now carries a domain (identity, org, hr, finance, operations or governance). DELEGATION_RULES maps each grantor role to the domains it may delegate and whether its reach is group-wide or own-scope; a user with several grantor roles gets the union. DelegationService.assertCanGrant runs on every grant and every revoke (a role assignment is first expanded to its permission codes): it checks each permission's domain against the actor's authority, then — for own-scope grantors — that every one of the target user's scope rows is covered by one of the actor's. A new permission identity.user.delegate lets the three grantor roles reach the grant/revoke and read-only user-list endpoints; user lifecycle (create / activate / lock / scope) stays limited to identity.user.manage.</w:t>
      </w:r>
    </w:p>
    <w:p>
      <w:pPr>
        <w:pStyle w:val="BodyText"/>
      </w:pPr>
      <w:r>
        <w:t>Supporting changes: GET /identity/users/{id}/delegatable-grants returns exactly the roles and permissions the signed-in admin may grant on that user plus a canDelegateToTarget flag, and the Users &amp; Settings screen uses it so its dropdowns only ever offer allowed grants and it shows a notice when the selected user is outside the admin's scope. Grant and revoke are written to the audit trail (identity.user.updated with roleAssigned / roleRemoved / permissionGranted / permissionRevoked); a blocked attempt is recorded as UsersController.access.denied. One Prisma migration adds permissions.domain; the seed backfills every domain and grants identity.user.delegate to the Managing Director, Branch Manager, Human Resources Manager and Super Administrator. Verified end-to-end against the running API (MD grants any domain; Branch Manager grants operations in-scope but is refused an hr permission and any out-of-scope target; HR Manager grants hr in-scope but is refused operations; a non-grantor is refused by the guard).</w:t>
      </w:r>
    </w:p>
    <w:p>
      <w:pPr>
        <w:pStyle w:val="Heading2"/>
      </w:pPr>
      <w:r>
        <w:t>Impact on this document</w:t>
      </w:r>
    </w:p>
    <w:p>
      <w:pPr>
        <w:pStyle w:val="BodyText"/>
      </w:pPr>
      <w:r>
        <w:t>Administrator Manual: access administration is delegated. The Managing Director may grant any role/permission group-wide; a Branch Manager may grant operational permissions to users in their branch; an HR Manager may grant HR permissions to users in their scope. Super Administrator / IT Administrator keep full authority for bootstrap and recovery. The Users &amp; Settings screen shows each administrator only the grants they may make. Every grant and revoke is in the audit trail; refused attempts appear as access_denied. Keep each new permission's domain accurate — it is what the delegation rules act on.</w:t>
      </w:r>
    </w:p>
    <w:p>
      <w:pPr>
        <w:pStyle w:val="Heading1"/>
      </w:pPr>
      <w:r>
        <w:t>42. Implementation Status Update 28 (27 August 2026) — Permission-Based Visibility (Hide Unpermitted Operations)</w:t>
      </w:r>
    </w:p>
    <w:p>
      <w:pPr>
        <w:pStyle w:val="BodyText"/>
      </w:pPr>
      <w:r>
        <w:t>Building on the delegated-administration model, the Admin application now HIDES what a user has not been granted rather than only blocking it on submit: an operation a user has not been permitted — whether by the Managing Director, a Branch Manager or an HR Manager — is not shown to them at all.</w:t>
      </w:r>
    </w:p>
    <w:p>
      <w:pPr>
        <w:pStyle w:val="BodyText"/>
      </w:pPr>
      <w:r>
        <w:t>Behaviour:</w:t>
      </w:r>
    </w:p>
    <w:p>
      <w:pPr>
        <w:pStyle w:val="BodyText"/>
      </w:pPr>
      <w:r>
        <w:t>•  Sidebar: a menu item the signed-in user lacks the permission for is not rendered — not greyed, not disabled; a whole category disappears when none of its items are visible.</w:t>
      </w:r>
    </w:p>
    <w:p>
      <w:pPr>
        <w:pStyle w:val="BodyText"/>
      </w:pPr>
      <w:r>
        <w:t>•  Direct URL: typing the address of a screen the user may not see redirects them to the Dashboard; no flash of content.</w:t>
      </w:r>
    </w:p>
    <w:p>
      <w:pPr>
        <w:pStyle w:val="BodyText"/>
      </w:pPr>
      <w:r>
        <w:t>•  Always visible: the Dashboard and the “My HR” employee self-service screens (my profile, clock in/out, my leave, my shifts, my performance, my payslips, my salary advances).</w:t>
      </w:r>
    </w:p>
    <w:p>
      <w:pPr>
        <w:pStyle w:val="BodyText"/>
      </w:pPr>
      <w:r>
        <w:t>•  Platform administrators: holders of identity.user.manage (Super Administrator / IT Administrator) see everything, as they administer the system itself.</w:t>
      </w:r>
    </w:p>
    <w:p>
      <w:pPr>
        <w:pStyle w:val="BodyText"/>
      </w:pPr>
      <w:r>
        <w:t>Mechanism: the login, token-refresh and GET /identity/users/me responses now include the user's effective permission codes (role permissions plus direct grants) — the same set the request guard already enforces. The front end holds one map, ROUTE_CAPABILITIES (mbms/frontend/src/lib/capabilities.js), from each admin route to the permission code(s) that make it meaningful ('*' = always; '__platform_admin__' = platform admins only, used for planned screens with no permission code yet, e.g. Payroll). The sidebar filters its items through this map; RequireAuth checks it on every navigation and redirects to the Dashboard when the target is not permitted; a hasPermission(...) helper is available to screens for finer hiding. The map is the single source for both the menu and the route guard so they cannot drift. While a session saved before this field existed is being re-hydrated (the app re-reads /identity/users/me on load), nothing is blocked client-side — the API still enforces every call.</w:t>
      </w:r>
    </w:p>
    <w:p>
      <w:pPr>
        <w:pStyle w:val="BodyText"/>
      </w:pPr>
      <w:r>
        <w:t>This is presentation and navigation only — no new permission codes, no schema change, no change to what the API allows (every endpoint keeps its own permission check). Verified with the running system: signed in as Sales Manager (product.manage, sales.order.manage, customer.manage, expense.create, expense.approve.manager, leave.approve) the sidebar shows only Dashboard, Product Manager, Order Management, Inventory, Customers (CRM), Marketing &amp; Promos, CMS / Site Builder, Leave Requests, the whole My HR group and Expenses — nothing else — and navigating to /users redirects to the Dashboard.</w:t>
      </w:r>
    </w:p>
    <w:p>
      <w:pPr>
        <w:pStyle w:val="Heading2"/>
      </w:pPr>
      <w:r>
        <w:t>Impact on this document</w:t>
      </w:r>
    </w:p>
    <w:p>
      <w:pPr>
        <w:pStyle w:val="BodyText"/>
      </w:pPr>
      <w:r>
        <w:t>Administrator Manual: the sidebar is now assembled per user from ROUTE_CAPABILITIES (route → required permission codes). When a new screen is added, add its entry to that map; when a user reports a “missing” menu item, check the permissions they hold against that entry rather than assuming a fault. The Dashboard and My HR are always visible; identity.user.manage holders see everything.</w:t>
      </w:r>
    </w:p>
    <w:p>
      <w:pPr>
        <w:pStyle w:val="Heading1"/>
      </w:pPr>
      <w:r>
        <w:t>43. Implementation Status Update 29 (27 August 2026) — Customer Storefront Localisation (Uganda Languages)</w:t>
      </w:r>
    </w:p>
    <w:p>
      <w:pPr>
        <w:pStyle w:val="BodyText"/>
      </w:pPr>
      <w:r>
        <w:t>A customer can now switch the Customer Storefront into any of Uganda's languages from a picker in the header, and on the Landing and Login screens before sign-in. The choice is remembered in that browser (localStorage 'storefront.lang') and also sets the page's HTML lang attribute.</w:t>
      </w:r>
    </w:p>
    <w:p>
      <w:pPr>
        <w:pStyle w:val="BodyText"/>
      </w:pPr>
      <w:r>
        <w:t>Coverage (agreed scope: framework + key strings + English fallback):</w:t>
      </w:r>
    </w:p>
    <w:p>
      <w:pPr>
        <w:pStyle w:val="BodyText"/>
      </w:pPr>
      <w:r>
        <w:t>•  Languages offered: the two official languages (English, Kiswahili) plus Uganda's indigenous languages grouped by family in the picker — Bantu (Luganda, Runyankole, Rukiga, Lusoga, Rutooro, Lumasaba, Kinyarwanda), Nilotic (Ateso, Acholi, Lango, Karamojong, Alur, Kakwa) and Central Sudanic (Lugbara, Ma'di, Aringa).</w:t>
      </w:r>
    </w:p>
    <w:p>
      <w:pPr>
        <w:pStyle w:val="BodyText"/>
      </w:pPr>
      <w:r>
        <w:t>•  Translated now: English is the complete baseline; Kiswahili and Luganda cover the key UI strings (navigation, header, buttons, page headings, common labels); Runyankole and Acholi are partial.</w:t>
      </w:r>
    </w:p>
    <w:p>
      <w:pPr>
        <w:pStyle w:val="BodyText"/>
      </w:pPr>
      <w:r>
        <w:t>•  Fallback: any string not yet translated for the chosen language renders in English, key by key, so a page is never half-blank; untranslated languages are listed and marked accordingly for translators to fill.</w:t>
      </w:r>
    </w:p>
    <w:p>
      <w:pPr>
        <w:pStyle w:val="BodyText"/>
      </w:pPr>
      <w:r>
        <w:t>•  Not translated in this pass: long body / marketing prose, and any server-generated text (statuses, e-mails) — the preference is applied in the browser only; no API response changes.</w:t>
      </w:r>
    </w:p>
    <w:p>
      <w:pPr>
        <w:pStyle w:val="BodyText"/>
      </w:pPr>
      <w:r>
        <w:t>Mechanism: mbms/storefront/src/locales/index.js holds LANGUAGE_LIST (code, English label, local name, language family) and LOCALES — one flat key-to-string table per language, with the English table complete. mbms/storefront/src/lib/i18n.jsx provides an I18nProvider (reads and persists the choice, sets document lang) and a t(key, vars) helper that returns the chosen language's string, else English, else the key, interpolating {name}-style placeholders. A LanguageSwitcher component (grouped by family) sits in the storefront header and on the Landing and Login screens; all eleven storefront pages call t() for their navigation, headings and primary buttons.</w:t>
      </w:r>
    </w:p>
    <w:p>
      <w:pPr>
        <w:pStyle w:val="BodyText"/>
      </w:pPr>
      <w:r>
        <w:t>No back-end, database or API change — the language preference lives only in the customer's browser. Verified with the running storefront: the home page in Luganda (navigation “Awaka / Edduuka / Ebiragiro Byange / Inivoosi n'Ebisasulo / Obuyambi / Akakawunti Kange”, welcome “Tukwanirizza nate, …”) and the login screen in Kiswahili (“Barua pepe au Nambari ya Akaunti”, “Nywila”, “Ingia”); switching to a not-yet-translated language falls back to English cleanly.</w:t>
      </w:r>
    </w:p>
    <w:p>
      <w:pPr>
        <w:pStyle w:val="Heading2"/>
      </w:pPr>
      <w:r>
        <w:t>Impact on this document</w:t>
      </w:r>
    </w:p>
    <w:p>
      <w:pPr>
        <w:pStyle w:val="BodyText"/>
      </w:pPr>
      <w:r>
        <w:t>Administrator Manual: storefront translations live in mbms/storefront/src/locales/index.js (one table per language; English is the fallback). To add or correct a translation, edit that language's table — no build-tooling or back-end work is needed beyond redeploying the storefront bundle. New UI strings must be added to the English table with a key.</w:t>
      </w:r>
    </w:p>
    <w:p>
      <w:pPr>
        <w:pStyle w:val="Heading1"/>
      </w:pPr>
      <w:r>
        <w:t>44. Implementation Status Update 30 (27 August 2026) — Storefront Localisation Extended to World Languages</w:t>
      </w:r>
    </w:p>
    <w:p>
      <w:pPr>
        <w:pStyle w:val="BodyText"/>
      </w:pPr>
      <w:r>
        <w:t>The Customer Storefront language picker, introduced the same day for Uganda's languages, is extended to the major languages of every continent — 43 languages in total. The picker groups them: Uganda's language families first, then Africa, Asia, Europe, the Americas and Oceania.</w:t>
      </w:r>
    </w:p>
    <w:p>
      <w:pPr>
        <w:pStyle w:val="BodyText"/>
      </w:pPr>
      <w:r>
        <w:t>What changed from the Uganda-languages pass:</w:t>
      </w:r>
    </w:p>
    <w:p>
      <w:pPr>
        <w:pStyle w:val="BodyText"/>
      </w:pPr>
      <w:r>
        <w:t>•  Languages added: Africa — Arabic, Hausa, Yoruba, Igbo, Amharic, Zulu; Asia — Mandarin Chinese, Hindi, Bengali, Japanese, Indonesian, Russian, Turkish; Europe — German, French, Spanish, Italian; the Americas — Portuguese, Quechua, Guarani; Oceania — Tok Pisin, Māori, Samoan, Tongan, Fijian.</w:t>
      </w:r>
    </w:p>
    <w:p>
      <w:pPr>
        <w:pStyle w:val="BodyText"/>
      </w:pPr>
      <w:r>
        <w:t>•  Now translated (key UI): in addition to English (complete), Kiswahili and Luganda, the key UI strings are translated for French, Spanish, Portuguese, German, Italian and Arabic; Runyankole and Acholi remain partial; every other language falls back to English key by key.</w:t>
      </w:r>
    </w:p>
    <w:p>
      <w:pPr>
        <w:pStyle w:val="BodyText"/>
      </w:pPr>
      <w:r>
        <w:t>•  Right-to-left: Arabic is the first right-to-left language; selecting it flips the document direction (the HTML dir attribute) and a small dir='rtl' block in the stylesheet corrects the few physically-placed elements. Any right-to-left language added later behaves the same way.</w:t>
      </w:r>
    </w:p>
    <w:p>
      <w:pPr>
        <w:pStyle w:val="BodyText"/>
      </w:pPr>
      <w:r>
        <w:t>•  Unchanged: still a front-end-only change — the preference lives in the customer's browser; no API, database schema or migration is affected, and server-generated text is not translated in this pass.</w:t>
      </w:r>
    </w:p>
    <w:p>
      <w:pPr>
        <w:pStyle w:val="BodyText"/>
      </w:pPr>
      <w:r>
        <w:t>Mechanism: LANGUAGE_LIST in mbms/storefront/src/locales/index.js gains the world languages (each with a code, English label, local/native name and a group), plus an optional dir: 'rtl' marker and a dirForLang() helper. LOCALES gains a translated key-string table for fr, es, pt, de, it and ar, and an empty (English-fallback) entry for every other new code. lib/i18n.jsx now also sets document.documentElement.dir on each language change. LanguageSwitcher already groups by the region field, so it renders the new continent groups without change. No storefront page needed editing — they were already wired to t() in the previous pass.</w:t>
      </w:r>
    </w:p>
    <w:p>
      <w:pPr>
        <w:pStyle w:val="BodyText"/>
      </w:pPr>
      <w:r>
        <w:t>Verified with the running storefront: the home page in French (navigation “Accueil / Boutique / Mes commandes / Factures et paiements / Assistance / Mon compte”, welcome “Bon retour, …”), and the login and home screens in Arabic with the entire layout mirrored right-to-left (“تسجيل الدخول”, “البريد الإلكتروني أو رقم الحساب”). Languages without a translation yet fall back to English cleanly.</w:t>
      </w:r>
    </w:p>
    <w:p>
      <w:pPr>
        <w:pStyle w:val="Heading2"/>
      </w:pPr>
      <w:r>
        <w:t>Impact on this document</w:t>
      </w:r>
    </w:p>
    <w:p>
      <w:pPr>
        <w:pStyle w:val="BodyText"/>
      </w:pPr>
      <w:r>
        <w:t>Administrator Manual: the language list and the translation tables both live in mbms/storefront/src/locales/index.js. To add a language, add an entry to LANGUAGE_LIST (with dir: 'rtl' if it is a right-to-left script) and a table to LOCALES (or leave it empty to fall back to English). No back-end or tooling work beyond redeploying the storefront bundle.</w:t>
      </w:r>
    </w:p>
    <w:p>
      <w:pPr>
        <w:pStyle w:val="Heading1"/>
      </w:pPr>
      <w:r>
        <w:t>45. Implementation Status Update 31 (27 August 2026) — Full Storefront Localisation (Every Screen)</w:t>
      </w:r>
    </w:p>
    <w:p>
      <w:pPr>
        <w:pStyle w:val="BodyText"/>
      </w:pPr>
      <w:r>
        <w:t>When a customer changes language, the WHOLE Customer Storefront now changes, not only the navigation and page headings. Every visible string was pulled into the translation catalogue and every storefront component was wired to render through it.</w:t>
      </w:r>
    </w:p>
    <w:p>
      <w:pPr>
        <w:pStyle w:val="BodyText"/>
      </w:pPr>
      <w:r>
        <w:t>What this pass covered:</w:t>
      </w:r>
    </w:p>
    <w:p>
      <w:pPr>
        <w:pStyle w:val="BodyText"/>
      </w:pPr>
      <w:r>
        <w:t>•  Full string extraction: about 190 keys covering all eleven storefront pages, the shared Layout, and the public Landing page (hero, feature cards, the how-it-works steps, footer and the full five-point disclaimer modal).</w:t>
      </w:r>
    </w:p>
    <w:p>
      <w:pPr>
        <w:pStyle w:val="BodyText"/>
      </w:pPr>
      <w:r>
        <w:t>•  Every UI element keyed: form labels, input placeholders, empty-state messages, table headers, buttons, breadcrumb trails, error and success banners, and the order / invoice / ticket status and priority badges (new tStatus() / tPriority() helpers, replacing the raw UPPER-CASE humaniser for any value present in the catalogue).</w:t>
      </w:r>
    </w:p>
    <w:p>
      <w:pPr>
        <w:pStyle w:val="BodyText"/>
      </w:pPr>
      <w:r>
        <w:t>•  Nine languages complete: English is the baseline; Kiswahili, Luganda, French, Spanish, Portuguese, German, Italian and Arabic are now translated in full, so selecting any of them changes every screen. Runyankole and Acholi remain partial; all other languages fall back to English string by string.</w:t>
      </w:r>
    </w:p>
    <w:p>
      <w:pPr>
        <w:pStyle w:val="BodyText"/>
      </w:pPr>
      <w:r>
        <w:t>•  Unchanged: still a front-end-only change — no API, database schema or migration is affected. Server-supplied data (company names, product names, monetary amounts) is shown exactly as the API returns it.</w:t>
      </w:r>
    </w:p>
    <w:p>
      <w:pPr>
        <w:pStyle w:val="BodyText"/>
      </w:pPr>
      <w:r>
        <w:t>Mechanism: the catalogue was split for maintainability into mbms/storefront/src/locales/en.js (the complete key set), eu.js (French, Spanish, Portuguese, German, Italian) and regional.js (Swahili, Luganda, Arabic in full; Runyankole and Acholi partial), assembled by locales/index.js which also exposes FULLY_TRANSLATED_LANGS. lib/i18n.jsx gained tStatus() and tPriority(), which look up status.* / priority.* keys and fall back to the previous humanised form for any enum not in the catalogue. Every page component (Home, Shop, Product Detail, Cart, Orders, Invoices, Make Payment, Support, Account, Login, Landing) now renders exclusively through t() / tStatus() / tPriority(); lib/format.js's statusLabel is no longer used by the UI.</w:t>
      </w:r>
    </w:p>
    <w:p>
      <w:pPr>
        <w:pStyle w:val="BodyText"/>
      </w:pPr>
      <w:r>
        <w:t>Verified against the running storefront: the French Orders screen (status column, order tracker steps, filter and buttons all translated), the German Account screen (every field label, payment terms, add-address button), and the Arabic Home screen — each rendered entirely in the chosen language, with Arabic mirrored right-to-left, and only server-supplied data left in its original form. Selecting a not-yet-translated language leaves each individual string in English rather than blank.</w:t>
      </w:r>
    </w:p>
    <w:p>
      <w:pPr>
        <w:pStyle w:val="Heading2"/>
      </w:pPr>
      <w:r>
        <w:t>Impact on this document</w:t>
      </w:r>
    </w:p>
    <w:p>
      <w:pPr>
        <w:pStyle w:val="BodyText"/>
      </w:pPr>
      <w:r>
        <w:t>Administrator Manual: storefront text now lives across locales/en.js (the master key list) and locales/eu.js / locales/regional.js (translations). A new UI string must be added to en.js with a key and referenced via t(); status / priority labels use status.* / priority.* keys through tStatus() / tPriority(). To complete or correct a language, edit its table and redeploy the storefront bundle — no other work.</w:t>
      </w:r>
    </w:p>
    <w:p>
      <w:pPr>
        <w:pStyle w:val="Heading1"/>
      </w:pPr>
      <w:r>
        <w:t>46. Implementation Status Update 32 (27 August 2026) — Database Content Localisation (Read in Language, Store in English)</w:t>
      </w:r>
    </w:p>
    <w:p>
      <w:pPr>
        <w:pStyle w:val="BodyText"/>
      </w:pPr>
      <w:r>
        <w:t>Localisation now reaches the data, not only the interface. A customer sees database values in the language they chose, and anything a customer types is stored in English — with their exact original wording kept alongside so nothing is lost.</w:t>
      </w:r>
    </w:p>
    <w:p>
      <w:pPr>
        <w:pStyle w:val="BodyText"/>
      </w:pPr>
      <w:r>
        <w:t>The two directions:</w:t>
      </w:r>
    </w:p>
    <w:p>
      <w:pPr>
        <w:pStyle w:val="BodyText"/>
      </w:pPr>
      <w:r>
        <w:t>•  Read — data shown in the customer's language: the storefront sends an Accept-Language header on every request; the customer-portal endpoints map product and category names, units of measure, and the glossary-reachable parts of descriptions and support-ticket text into that language on the way out. Database rows are unchanged.</w:t>
      </w:r>
    </w:p>
    <w:p>
      <w:pPr>
        <w:pStyle w:val="BodyText"/>
      </w:pPr>
      <w:r>
        <w:t>•  Write — customer input stored in English: when a customer submits a support ticket, a ticket reply or a delivery address in another language, the text is normalised to English for storage; the row keeps a source_language marker and *_original columns holding the customer's exact words. The customer sees their own wording back while browsing in that language; staff see and store English, with a “show customer's original” toggle on the Support Tickets screen.</w:t>
      </w:r>
    </w:p>
    <w:p>
      <w:pPr>
        <w:pStyle w:val="BodyText"/>
      </w:pPr>
      <w:r>
        <w:t>•  Curated glossary: a bidirectional phrase- and token-level map covers the finite storefront vocabulary — category names, units, address words, and the recurring tokens in product names. Order / invoice / ticket status and priority values are covered by the existing UI catalogue, not the glossary.</w:t>
      </w:r>
    </w:p>
    <w:p>
      <w:pPr>
        <w:pStyle w:val="BodyText"/>
      </w:pPr>
      <w:r>
        <w:t>•  Free-form prose: arbitrary text outside the glossary passes through a TranslationProvider seam whose bundled implementation is a no-op — this proof-of-concept is offline with no translation service. A real provider (a hosted MT service or an LLM) plugs in there and is selected with CONTENT_TRANSLATION_PROVIDER.</w:t>
      </w:r>
    </w:p>
    <w:p>
      <w:pPr>
        <w:pStyle w:val="BodyText"/>
      </w:pPr>
      <w:r>
        <w:t>Mechanism: a new mbms/backend/src/common/translation module — content-glossary.ts (the bidirectional vocabulary), translation.provider.ts (the provider interface plus the no-op IdentityTranslationProvider), content-translation.service.ts (resolveLang from Accept-Language, toLocale for read, toEnglish for write) and a @Global translation.module.ts. One Prisma migration (content_translation_originals) adds source_language and *_original columns to support_tickets, ticket_messages and delivery_addresses. The customer-portal catalog, support and account controllers read the header; SupportService and CustomerAccountService normalise inbound text and persist the originals; the staff SupportService resource and the admin Support Tickets screen expose them.</w:t>
      </w:r>
    </w:p>
    <w:p>
      <w:pPr>
        <w:pStyle w:val="BodyText"/>
      </w:pPr>
      <w:r>
        <w:t>Verified against the running API: catalogue categories return as “Pembejeo za Kilimo / Mafuta / Ghala” in Swahili and product names token-translate (“Maïs Semence — 25kg Sac” in French); a support ticket written in Luganda is stored with an English subject/description, source_language 'lg', and the Luganda originals preserved — the customer still sees their own words, and the same customer viewing in French gets the English glossary-translated into French, not the Luganda original.</w:t>
      </w:r>
    </w:p>
    <w:p>
      <w:pPr>
        <w:pStyle w:val="Heading2"/>
      </w:pPr>
      <w:r>
        <w:t>Impact on this document</w:t>
      </w:r>
    </w:p>
    <w:p>
      <w:pPr>
        <w:pStyle w:val="BodyText"/>
      </w:pPr>
      <w:r>
        <w:t>Administrator Manual: customer-authored text (support tickets, replies, delivery addresses) is stored in English; the source_language and *_original columns hold the customer's wording, surfaced by the Support Tickets “show original” toggle. The translation glossary lives in src/common/translation/content-glossary.ts — add a term (with its translations) to extend coverage. Arbitrary prose is handled by the TranslationProvider seam; the bundled provider is a no-op, a real one is selected with CONTENT_TRANSLATION_PROVIDER.</w:t>
      </w:r>
    </w:p>
    <w:p>
      <w:pPr>
        <w:pStyle w:val="Heading1"/>
      </w:pPr>
      <w:r>
        <w:t>47. Implementation Status Update 33 (27 August 2026) — Currency &amp; Figure Localisation (Convert for Display, Store Canonical)</w:t>
      </w:r>
    </w:p>
    <w:p>
      <w:pPr>
        <w:pStyle w:val="BodyText"/>
      </w:pPr>
      <w:r>
        <w:t>Localisation now covers money and numerals. A customer sees amounts and figures in the form their language expects; the database keeps a single canonical form (English words, Uganda Shillings, Western 0-9 digits).</w:t>
      </w:r>
    </w:p>
    <w:p>
      <w:pPr>
        <w:pStyle w:val="BodyText"/>
      </w:pPr>
      <w:r>
        <w:t>The behaviour:</w:t>
      </w:r>
    </w:p>
    <w:p>
      <w:pPr>
        <w:pStyle w:val="BodyText"/>
      </w:pPr>
      <w:r>
        <w:t>•  Currency conversion for display: amounts come from the API in Uganda Shillings (UGX). When the customer's chosen language belongs to a region that uses another currency, the storefront converts the amount and formats it for that locale — currency name, value, thousands grouping and decimal mark all follow it. Uganda's languages keep UGX unchanged.</w:t>
      </w:r>
    </w:p>
    <w:p>
      <w:pPr>
        <w:pStyle w:val="BodyText"/>
      </w:pPr>
      <w:r>
        <w:t>•  Numerals in the language's script: digits in localised database text (for example the “25kg” inside a translated product name) and standalone figures (quantities, stock, dashboard counts) are shown in the language's own digit script where it has one — Arabic-Indic for Arabic, Western for the rest.</w:t>
      </w:r>
    </w:p>
    <w:p>
      <w:pPr>
        <w:pStyle w:val="BodyText"/>
      </w:pPr>
      <w:r>
        <w:t>•  Fixed demo rates: conversion uses single constant rates (UGX per unit: USD 3800, EUR 4150, AED 1022, BRL 700), consistent with the existing “no live FX feed” position for this proof-of-concept; a real feed replaces the constants.</w:t>
      </w:r>
    </w:p>
    <w:p>
      <w:pPr>
        <w:pStyle w:val="BodyText"/>
      </w:pPr>
      <w:r>
        <w:t>•  Storage stays canonical: nothing about the stored data changes — monetary columns remain UGX, and any numeral a customer types in a non-Western script is transliterated to 0-9 before storage (their original characters are kept in the *_original columns from the previous change).</w:t>
      </w:r>
    </w:p>
    <w:p>
      <w:pPr>
        <w:pStyle w:val="BodyText"/>
      </w:pPr>
      <w:r>
        <w:t>Mechanism: mbms/storefront/src/lib/format.js gains locale-aware helpers — money() (currency conversion + Intl.NumberFormat with currencyDisplay:'name'), figure() (locale-formatted integers) and localizeDigits() — driven by CURRENCY_BY_LANG, UGX_PER_UNIT and LOCALE_TAG maps. On the backend, ContentTranslationService.toLocale also transliterates digits in text for scripts that need it (DIGIT_SCRIPTS), and toEnglish runs toWesternDigits on every inbound string first — even for an otherwise-unsupported language — so “٥” is stored as “5”. No database schema change and no new endpoint.</w:t>
      </w:r>
    </w:p>
    <w:p>
      <w:pPr>
        <w:pStyle w:val="BodyText"/>
      </w:pPr>
      <w:r>
        <w:t>Verified against the running storefront: in Arabic, catalogue prices read as “93.93 درهم إماراتي” with Arabic-Indic digits in product names (“… ١٠kg …”); in French, every amount is EUR with fr-FR formatting (“3 687,04 euros”). A support ticket typed in Arabic with Arabic-Indic digits is stored with Western digits and the exact original preserved.</w:t>
      </w:r>
    </w:p>
    <w:p>
      <w:pPr>
        <w:pStyle w:val="Heading2"/>
      </w:pPr>
      <w:r>
        <w:t>Impact on this document</w:t>
      </w:r>
    </w:p>
    <w:p>
      <w:pPr>
        <w:pStyle w:val="BodyText"/>
      </w:pPr>
      <w:r>
        <w:t>Administrator Manual: the storefront converts UGX amounts for display using fixed rates in mbms/storefront/src/lib/format.js (UGX_PER_UNIT) and a CURRENCY_BY_LANG map; nothing stored changes. To add or adjust a currency, edit those maps and redeploy the storefront. Customer numerals typed in another script are stored as 0-9 (originals kept in *_original). Replace the fixed rates with a feed for production.</w:t>
      </w:r>
    </w:p>
    <w:p>
      <w:pPr>
        <w:pStyle w:val="Heading1"/>
      </w:pPr>
      <w:r>
        <w:t>48. Implementation Status Update 34 (27 August 2026) — Subsidiary Lifecycle &amp; Clearing / Forwarding Subsidiary</w:t>
      </w:r>
    </w:p>
    <w:p>
      <w:pPr>
        <w:pStyle w:val="BodyText"/>
      </w:pPr>
      <w:r>
        <w:t>The Managing Director asked to be able to view, create, update, delete and activate/deactivate subsidiaries and everything under them (users, branches, departments, policies), and to set up a new Clearing, Forwarding &amp; Logistics subsidiary. Both are done: the subsidiary lifecycle is fully manageable, and “Morise Clearing &amp; Forwarding Ltd” now exists as a real subsidiary.</w:t>
      </w:r>
    </w:p>
    <w:p>
      <w:pPr>
        <w:pStyle w:val="BodyText"/>
      </w:pPr>
      <w:r>
        <w:t>What was delivered:</w:t>
      </w:r>
    </w:p>
    <w:p>
      <w:pPr>
        <w:pStyle w:val="BodyText"/>
      </w:pPr>
      <w:r>
        <w:t>•  MD gains full company + user administration: the Managing Director role now holds organization.company.manage and identity.user.manage in addition to its group-wide view, so an MD can create and change subsidiaries and the users, branches, departments and policies under them (previously view-only).</w:t>
      </w:r>
    </w:p>
    <w:p>
      <w:pPr>
        <w:pStyle w:val="BodyText"/>
      </w:pPr>
      <w:r>
        <w:t>•  Delete and execute controls added: new endpoints — DELETE /organization/companies/{id} (and the same for branches, departments and policies), plus POST .../companies/{id}/activate and /deactivate. A company can only be hard-deleted once it is genuinely empty; otherwise the response says to deactivate it instead. The root holding company can never be deleted or deactivated. Every action is audited (organization.*.deleted / .updated).</w:t>
      </w:r>
    </w:p>
    <w:p>
      <w:pPr>
        <w:pStyle w:val="BodyText"/>
      </w:pPr>
      <w:r>
        <w:t>•  Admin UI: the Companies list gains per-row Activate/Deactivate and Delete for subsidiaries; the Company detail screen gains Delete on each branch, department and policy row and Activate/Deactivate/Delete for the subsidiary itself. All gated to Managing Director / Super Administrator / IT Administrator.</w:t>
      </w:r>
    </w:p>
    <w:p>
      <w:pPr>
        <w:pStyle w:val="BodyText"/>
      </w:pPr>
      <w:r>
        <w:t>•  New subsidiary seeded: Morise Clearing &amp; Forwarding Ltd — wholly-owned (100%), UGX — with six border/airport branches (Kampala HQ, Malaba, Busia, Entebbe Airport, Mutukula, Elegu), eight departments (Customs Clearance, Freight Forwarding, Warehousing, Logistics &amp; Supply Chain, Export Facilitation, Fleet Management, Client Services, Finance &amp; Billing) and four starter policies (KYC, disbursement pre-funding, demurrage escalation, tax/levy rate configuration).</w:t>
      </w:r>
    </w:p>
    <w:p>
      <w:pPr>
        <w:pStyle w:val="BodyText"/>
      </w:pPr>
      <w:r>
        <w:t>The subsidiary's multi-module clearing/forwarding/logistics system — sixteen feature areas covering client &amp; CRM, job files, customs clearance with the URA duty/tax engine, freight forwarding, logistics &amp; supply chain, export facilitation, warehousing, multi-branch management, finance &amp; billing, document management, tracking &amp; notifications, reporting &amp; analytics, compliance &amp; risk, integrations, mobile apps and administration/security — is specified in a new document, 19_Clearing, Forwarding and Logistics System — Feature Specification, with a five-phase delivery backlog. None of those modules are built in the current MBMS slice; where the platform already has a capability (identity, org, finance, audit, notifications) the subsidiary will reuse it.</w:t>
      </w:r>
    </w:p>
    <w:p>
      <w:pPr>
        <w:pStyle w:val="BodyText"/>
      </w:pPr>
      <w:r>
        <w:t>Changes: backend organization service — companies/branches/departments/policies services and controllers gain remove(), companies gains setStatus() with activate/deactivate endpoints; seed.ts grants the MD role the two permissions and seeds the subsidiary org structure; admin frontend Companies.jsx and CompanyDetail.jsx gain the delete / activate-deactivate controls. No schema change. Verified end-to-end: the MD created, updated, added branch/department/policy to and deleted a test subsidiary, activated/deactivated it, and was correctly blocked (409, “deactivate instead”) from deleting the populated Clearing &amp; Forwarding subsidiary.</w:t>
      </w:r>
    </w:p>
    <w:p>
      <w:pPr>
        <w:pStyle w:val="Heading2"/>
      </w:pPr>
      <w:r>
        <w:t>Impact on this document</w:t>
      </w:r>
    </w:p>
    <w:p>
      <w:pPr>
        <w:pStyle w:val="BodyText"/>
      </w:pPr>
      <w:r>
        <w:t>Administrator Manual: the Managing Director now has organization.company.manage and identity.user.manage. Subsidiary deletion is guarded — a company with any branch, department, employee, customer, supplier, product, ledger account or inter-company transaction returns 409 and must be deactivated instead; the root holding company is protected outright. The new Clearing &amp; Forwarding subsidiary's branches, departments and policies are listed; its system specification is doc 19.</w:t>
      </w:r>
    </w:p>
    <w:p>
      <w:pPr>
        <w:pStyle w:val="Heading1"/>
      </w:pPr>
      <w:r>
        <w:t>49. Implementation Status Update 35 (27 August 2026) — Warehouse Management Subsidiary</w:t>
      </w:r>
    </w:p>
    <w:p>
      <w:pPr>
        <w:pStyle w:val="BodyText"/>
      </w:pPr>
      <w:r>
        <w:t>Using the subsidiary-lifecycle capability delivered in the previous change, the Managing Director set up a second new subsidiary: a multi-branch warehouse operation for Uganda. It exists as a real, manageable subsidiary; its Warehouse Management System is specified as future scope.</w:t>
      </w:r>
    </w:p>
    <w:p>
      <w:pPr>
        <w:pStyle w:val="BodyText"/>
      </w:pPr>
      <w:r>
        <w:t>What was delivered:</w:t>
      </w:r>
    </w:p>
    <w:p>
      <w:pPr>
        <w:pStyle w:val="BodyText"/>
      </w:pPr>
      <w:r>
        <w:t>•  New subsidiary seeded: Morise Warehouse Management Ltd — wholly-owned (100%), UGX — a subsidiary of Morise Holdings Limited.</w:t>
      </w:r>
    </w:p>
    <w:p>
      <w:pPr>
        <w:pStyle w:val="BodyText"/>
      </w:pPr>
      <w:r>
        <w:t>•  Branches: five warehouse branches: Kampala Central, Jinja, Mbarara, Gulu and Mbale.</w:t>
      </w:r>
    </w:p>
    <w:p>
      <w:pPr>
        <w:pStyle w:val="BodyText"/>
      </w:pPr>
      <w:r>
        <w:t>•  Departments: nine: Branch Operations, Inventory Control, Receiving &amp; Putaway, Order Fulfilment, Yard &amp; Dock, Reporting &amp; BI, IT &amp; Integrations, Compliance &amp; Security, and Field &amp; Mobile Operations.</w:t>
      </w:r>
    </w:p>
    <w:p>
      <w:pPr>
        <w:pStyle w:val="BodyText"/>
      </w:pPr>
      <w:r>
        <w:t>•  Starter policies: FEFO/FIFO stock rotation, cycle-count schedule, write-off &amp; transfer approval threshold, EFRIS/VAT configuration, and offline operation &amp; sync.</w:t>
      </w:r>
    </w:p>
    <w:p>
      <w:pPr>
        <w:pStyle w:val="BodyText"/>
      </w:pPr>
      <w:r>
        <w:t>The subsidiary's Warehouse Management System — twelve feature areas covering multi-location &amp; branch management, core inventory (batch/lot, serial, multi-UOM, cycle counting, ABC), receiving &amp; putaway with barcode scanning and cross-docking, order fulfilment (wave/zone picking, kitting, manifests, carrier integration), Uganda-specific features (multi-currency, 18% VAT with EFRIS/URA, mobile money, offline mode, Luganda/Swahili/Runyankole-Rukiga interfaces, power-outage resilience, road-condition alerts), yard &amp; dock management, reporting &amp; BI, integrations &amp; APIs, mobile &amp; field capabilities, security &amp; compliance (aligned with the Data Protection and Privacy Act 2019), advanced/future-ready features (AI forecasting, IoT cold-chain, RFID, AGV, blockchain traceability) and user management &amp; workflow — is specified in a new document, 20_Warehouse Management System (WMS) — Feature Specification, with a five-phase delivery backlog. None of those modules are built in the current MBMS slice; the WMS reuses the platform's identity, organisation, finance, audit, notification and localisation capabilities where they already exist.</w:t>
      </w:r>
    </w:p>
    <w:p>
      <w:pPr>
        <w:pStyle w:val="BodyText"/>
      </w:pPr>
      <w:r>
        <w:t>Changes: seed.ts seeds the subsidiary org structure (company, 5 branches, 9 departments, 5 policies) under the holding company. No code or schema change — the Managing Director already has full create/update/delete/activate over subsidiaries and their branches, departments and policies from the previous change. Verified: as the Managing Director, the subsidiary and all five branches, nine departments and five policies are visible and manageable through the admin Companies screens.</w:t>
      </w:r>
    </w:p>
    <w:p>
      <w:pPr>
        <w:pStyle w:val="Heading2"/>
      </w:pPr>
      <w:r>
        <w:t>Impact on this document</w:t>
      </w:r>
    </w:p>
    <w:p>
      <w:pPr>
        <w:pStyle w:val="BodyText"/>
      </w:pPr>
      <w:r>
        <w:t>Administrator Manual: Morise Warehouse Management Ltd is added to the group structure — five warehouse branches (Kampala, Jinja, Mbarara, Gulu, Mbale), nine departments and five operating policies. Its system specification is doc 20; it reuses the platform's localisation, identity, finance and audit capabilities.</w:t>
      </w:r>
    </w:p>
    <w:p>
      <w:pPr>
        <w:pStyle w:val="Heading1"/>
      </w:pPr>
      <w:r>
        <w:t>50. Implementation Status Update 36 (28 August 2026) — Inventory Section Activated</w:t>
      </w:r>
    </w:p>
    <w:p>
      <w:pPr>
        <w:pStyle w:val="BodyText"/>
      </w:pPr>
      <w:r>
        <w:t>The Admin sidebar's Inventory item, under ADMIN / BACKEND, was a “Coming Soon” placeholder from the navigation redesign. It is now a working screen: company-level stock on hand, per-product re-order points, stock adjustments and an immutable movement ledger.</w:t>
      </w:r>
    </w:p>
    <w:p>
      <w:pPr>
        <w:pStyle w:val="BodyText"/>
      </w:pPr>
      <w:r>
        <w:t>What was delivered:</w:t>
      </w:r>
    </w:p>
    <w:p>
      <w:pPr>
        <w:pStyle w:val="BodyText"/>
      </w:pPr>
      <w:r>
        <w:t>•  Stock on hand: each product keeps one stock-on-hand figure (products.stock_quantity). The Inventory screen lists every product with its code, category, unit of measure, on-hand quantity, unit price, stock value and a status of In stock / Low / Out of stock.</w:t>
      </w:r>
    </w:p>
    <w:p>
      <w:pPr>
        <w:pStyle w:val="BodyText"/>
      </w:pPr>
      <w:r>
        <w:t>•  Re-order points: a new products.reorder_point column. A product at or below its re-order point is flagged Low; at zero it is flagged Out of stock. Set or cleared from the screen (PUT /inventory/products/{id}/reorder-point).</w:t>
      </w:r>
    </w:p>
    <w:p>
      <w:pPr>
        <w:pStyle w:val="BodyText"/>
      </w:pPr>
      <w:r>
        <w:t>•  Stock adjustments: POST /inventory/adjustments records one change: receipt (goods in, adds), issue (goods out, subtracts, with an over-issue guard — 409 if more than is in stock), or count (a physical count; the counted figure becomes the on-hand and the signed difference is recorded). Requires product.manage.</w:t>
      </w:r>
    </w:p>
    <w:p>
      <w:pPr>
        <w:pStyle w:val="BodyText"/>
      </w:pPr>
      <w:r>
        <w:t>•  Movement ledger: a new stock_movements table (with a StockMovementType enum: receipt / issue / count). Every adjustment writes an immutable row — signed quantity, resulting balance, reason, reference, user and timestamp — shown newest-first on the screen's Movements tab and readable at GET /inventory/movements.</w:t>
      </w:r>
    </w:p>
    <w:p>
      <w:pPr>
        <w:pStyle w:val="BodyText"/>
      </w:pPr>
      <w:r>
        <w:t>•  Access &amp; audit: reads are scoped per BR-01 exactly like the product list (a user sees stock only for companies in their scope, unless they hold product.viewAll group-wide). Every adjustment and threshold change is written to the audit trail (inventory.stock.adjusted, inventory.reorder_point.updated).</w:t>
      </w:r>
    </w:p>
    <w:p>
      <w:pPr>
        <w:pStyle w:val="BodyText"/>
      </w:pPr>
      <w:r>
        <w:t>Backend: a new module, src/inventory (controller, service, DTOs), registered in app.module.ts. Migration 20260828120000_inventory_stock_movements adds products.reorder_point, the stock_movements table and the StockMovementType enum. The seed gives the catalogue products a re-order point and an opening-balance movement so the screen and ledger have content on a fresh database.</w:t>
      </w:r>
    </w:p>
    <w:p>
      <w:pPr>
        <w:pStyle w:val="BodyText"/>
      </w:pPr>
      <w:r>
        <w:t>Frontend: a new page, src/pages/Inventory.jsx, replacing the &lt;ComingSoon&gt; stub for /inventory in App.jsx; the sidebar entry loses its “Soon” badge. KPI tiles (stock-keeping units, low stock, out of stock, total stock value), a company selector, search and a low/out-of-stock filter, an Adjust dialog (type, quantity, reason, reference, with the projected new on-hand shown) and a Re-order point dialog. The route is permission-filtered like every other admin screen — visible to holders of product.viewAll or product.manage.</w:t>
      </w:r>
    </w:p>
    <w:p>
      <w:pPr>
        <w:pStyle w:val="BodyText"/>
      </w:pPr>
      <w:r>
        <w:t>Scope boundary: this is company-level inventory only — one stock figure per product. Per-branch stock balances, bin/location tracking and inter-branch transfers remain Warehouse Management System scope (20_Warehouse Management System (WMS) — Feature Specification, Module 2 “Core Inventory Management”); this Update is the first working slice of that module on the shared platform. No change to roles or permissions — the existing product.viewAll / product.manage pair gates the screen.</w:t>
      </w:r>
    </w:p>
    <w:p>
      <w:pPr>
        <w:pStyle w:val="Heading2"/>
      </w:pPr>
      <w:r>
        <w:t>Impact on this document</w:t>
      </w:r>
    </w:p>
    <w:p>
      <w:pPr>
        <w:pStyle w:val="BodyText"/>
      </w:pPr>
      <w:r>
        <w:t>Administrator manual: the Inventory screen is now active under Admin / Backend. It is visible to holders of product.viewAll or product.manage; adjustments and re-order-point changes require product.manage and are audited (inventory.stock.adjusted, inventory.reorder_point.updated). Company-level only; per-branch stock is WMS scope (doc 20).</w:t>
      </w:r>
    </w:p>
    <w:p>
      <w:pPr>
        <w:pStyle w:val="Heading1"/>
      </w:pPr>
      <w:r>
        <w:t>51. Implementation Status Update 37 (28 August 2026) — Marketing &amp; Promos and CMS / Site Builder Activated</w:t>
      </w:r>
    </w:p>
    <w:p>
      <w:pPr>
        <w:pStyle w:val="BodyText"/>
      </w:pPr>
      <w:r>
        <w:t>Two more ADMIN / BACKEND placeholders — Marketing &amp; Promos and CMS / Site Builder — are now working screens, and the customer storefront consumes both.</w:t>
      </w:r>
    </w:p>
    <w:p>
      <w:pPr>
        <w:pStyle w:val="BodyText"/>
      </w:pPr>
      <w:r>
        <w:t>What was delivered:</w:t>
      </w:r>
    </w:p>
    <w:p>
      <w:pPr>
        <w:pStyle w:val="BodyText"/>
      </w:pPr>
      <w:r>
        <w:t>•  Discount codes: a new discount_codes table (DiscountType percentage/fixed, DiscountCodeStatus). Staff create codes with a value, optional minimum order, validity window and redemption cap; the storefront validates a code at the cart (POST /customer-portal/discount-codes/validate) and the order-placement path re-validates and redeems it once, taking the discount off the subtotal before VAT and delivery. Orders gain discount_code and discount_amount columns.</w:t>
      </w:r>
    </w:p>
    <w:p>
      <w:pPr>
        <w:pStyle w:val="BodyText"/>
      </w:pPr>
      <w:r>
        <w:t>•  Promo banners: a new promo_banners table. Staff manage heading, body, link, placement, schedule and active flag; the storefront home renders the currently-live banners (GET /customer-portal/promo-banners).</w:t>
      </w:r>
    </w:p>
    <w:p>
      <w:pPr>
        <w:pStyle w:val="BodyText"/>
      </w:pPr>
      <w:r>
        <w:t>•  CMS content pages: a new content_blocks table (ContentBlockStatus draft/published). Each page has a working copy and a published snapshot; editing never affects what the storefront serves until Publish. The storefront renders published pages at /page/{slug} (GET /customer-portal/content, /content/{slug}) — About, Terms, Delivery are seeded.</w:t>
      </w:r>
    </w:p>
    <w:p>
      <w:pPr>
        <w:pStyle w:val="BodyText"/>
      </w:pPr>
      <w:r>
        <w:t>•  Access &amp; audit: two new permission pairs — marketing.manage / marketing.viewAll (operations domain) and cms.manage / cms.viewAll (governance domain). Reads need the viewAll or the manage code; writes need manage. Discount codes and banners are per-company and scoped per BR-01; content pages are site-wide. Every change is audited (marketing.discount_code.*, marketing.banner.*, cms.content_block.*).</w:t>
      </w:r>
    </w:p>
    <w:p>
      <w:pPr>
        <w:pStyle w:val="BodyText"/>
      </w:pPr>
      <w:r>
        <w:t>Backend: new modules src/marketing and src/cms, plus a customer-portal/storefront sub-module for the public content and authenticated promo/validate endpoints. A shared, database-free evaluateDiscountCode() is used by both the storefront validate endpoint and OrdersService so the cart and the placed order can never disagree on the discount. Migration 20260828160000_marketing_promos_cms adds the three tables, their enums and the two order columns. The seed adds demo discount codes (including an expired one), a promo banner and the About / Terms / Delivery content pages, and wires the four permissions to Super Administrator (all), Managing Director (viewAll), IT Administrator (all, demo break-glass) and Sales Manager (marketing).</w:t>
      </w:r>
    </w:p>
    <w:p>
      <w:pPr>
        <w:pStyle w:val="BodyText"/>
      </w:pPr>
      <w:r>
        <w:t>Admin frontend: new pages src/pages/Marketing.jsx (Discount codes / Banners tabs with CRUD and activate/deactivate) and src/pages/Cms.jsx (page list + editor + Save draft / Publish / Unpublish / Delete), replacing the &lt;ComingSoon&gt; stubs for /marketing and /cms in App.jsx; both sidebar entries lose their “Soon” badge and are permission-filtered on the new codes.</w:t>
      </w:r>
    </w:p>
    <w:p>
      <w:pPr>
        <w:pStyle w:val="BodyText"/>
      </w:pPr>
      <w:r>
        <w:t>Storefront: the cart gains a discount-code field that applies and shows a discount line and revised total; the home page renders active promo banners; a new public /page/{slug} route renders published content, linked from the Landing footer (About / Terms &amp; Conditions / Delivery &amp; Returns).</w:t>
      </w:r>
    </w:p>
    <w:p>
      <w:pPr>
        <w:pStyle w:val="Heading2"/>
      </w:pPr>
      <w:r>
        <w:t>Impact on this document</w:t>
      </w:r>
    </w:p>
    <w:p>
      <w:pPr>
        <w:pStyle w:val="BodyText"/>
      </w:pPr>
      <w:r>
        <w:t>Administrator manual: the two screens are now active under Admin / Backend. Marketing &amp; Promos is visible to marketing.viewAll or marketing.manage and per-company scoped; CMS / Site Builder is visible to cms.viewAll or cms.manage and is site-wide. Writes need the corresponding manage code. Seeded holders: Super Administrator and IT Administrator (all four), Managing Director (viewAll), Sales Manager (marketing).</w:t>
      </w:r>
    </w:p>
    <w:p>
      <w:pPr>
        <w:pStyle w:val="Heading1"/>
      </w:pPr>
      <w:r>
        <w:t>Operational Note (28 August 2026) — Diagnosing “Request failed (500)”</w:t>
      </w:r>
    </w:p>
    <w:p>
      <w:pPr>
        <w:pStyle w:val="BodyText"/>
      </w:pPr>
      <w:r>
        <w:t>This note is operational guidance for administrators, not an implementation change; it records a support question raised after the Marketing &amp; Promos and CMS / Site Builder sections were activated (see Implementation Status Update 37).</w:t>
      </w:r>
    </w:p>
    <w:p>
      <w:pPr>
        <w:pStyle w:val="BodyText"/>
      </w:pPr>
      <w:r>
        <w:t>Symptom: one or more Admin screens show the message “Request failed (500).” The Admin application shows this whenever an /api/v1 call returns HTTP 500 with no structured error body. In this system that almost always means the backend is stale or not running, not a fault in the screen itself.</w:t>
      </w:r>
    </w:p>
    <w:p>
      <w:pPr>
        <w:pStyle w:val="BodyText"/>
      </w:pPr>
      <w:r>
        <w:t>•  Every screen fails: the backend process is not running. The Admin application's development server proxies /api to http://localhost:3001 and returns 500 when that connection is refused. Start the backend (node dist/main.js in mbms/backend).</w:t>
      </w:r>
    </w:p>
    <w:p>
      <w:pPr>
        <w:pStyle w:val="BodyText"/>
      </w:pPr>
      <w:r>
        <w:t>•  Only the newly-activated screens fail (Marketing &amp; Promos, CMS / Site Builder, Inventory) while older screens work: the backend is running an older build, or the database has not had the latest migration applied, so the discount_codes, promo_banners and content_blocks tables (or the stock_movements table) do not yet exist. Apply the migration, regenerate the Prisma client, rebuild and restart: npx prisma migrate deploy &amp;&amp; npx prisma generate &amp;&amp; rm -rf dist &amp;&amp; npx nest build &amp;&amp; node dist/main.js.</w:t>
      </w:r>
    </w:p>
    <w:p>
      <w:pPr>
        <w:pStyle w:val="BodyText"/>
      </w:pPr>
      <w:r>
        <w:t>•  A screen fails immediately after the database was reset: the browser still holds a sign-in token issued before the reset. Sign out and sign in again.</w:t>
      </w:r>
    </w:p>
    <w:p>
      <w:pPr>
        <w:pStyle w:val="BodyText"/>
      </w:pPr>
      <w:r>
        <w:t>Rule of thumb: after any change to backend source or to schema.prisma, re-run the migration, regenerate the client, rebuild, and restart — in that order. Once migration 20260828160000_marketing_promos_cms (and 20260828120000_inventory_stock_movements) is applied, the Marketing, CMS and Inventory endpoints were verified returning HTTP 200 end-to-end.</w:t>
      </w:r>
    </w:p>
    <w:p>
      <w:pPr>
        <w:pStyle w:val="Heading1"/>
      </w:pPr>
      <w:r>
        <w:t>52. Implementation Status Update 38 (28 August 2026) — Managing Director Full Control of Marketing &amp; CMS</w:t>
      </w:r>
    </w:p>
    <w:p>
      <w:pPr>
        <w:pStyle w:val="BodyText"/>
      </w:pPr>
      <w:r>
        <w:t>When Marketing &amp; Promos and CMS / Site Builder were activated earlier today, the Managing Director held only the read (viewAll) permissions for both — the create / edit / publish controls appeared but writes were refused (403). At the Managing Director's request, the role now holds the full manage permissions for both sections.</w:t>
      </w:r>
    </w:p>
    <w:p>
      <w:pPr>
        <w:pStyle w:val="BodyText"/>
      </w:pPr>
      <w:r>
        <w:t>What changed:</w:t>
      </w:r>
    </w:p>
    <w:p>
      <w:pPr>
        <w:pStyle w:val="BodyText"/>
      </w:pPr>
      <w:r>
        <w:t>•  Managing Director role: gains marketing.manage and cms.manage (it already held marketing.viewAll and cms.viewAll). Seeded in seed.ts alongside the organization.company.manage / identity.user.manage the role already holds for the subsidiary lifecycle.</w:t>
      </w:r>
    </w:p>
    <w:p>
      <w:pPr>
        <w:pStyle w:val="BodyText"/>
      </w:pPr>
      <w:r>
        <w:t>•  Marketing &amp; Promos: the Managing Director can now view, create, update, delete and execute (activate / deactivate) discount codes, and view, create, update and delete promotional banners, group-wide.</w:t>
      </w:r>
    </w:p>
    <w:p>
      <w:pPr>
        <w:pStyle w:val="BodyText"/>
      </w:pPr>
      <w:r>
        <w:t>•  CMS / Site Builder: the Managing Director can now view, create, update, publish, unpublish and delete storefront content pages.</w:t>
      </w:r>
    </w:p>
    <w:p>
      <w:pPr>
        <w:pStyle w:val="BodyText"/>
      </w:pPr>
      <w:r>
        <w:t>•  New endpoint: DELETE /api/v1/marketing/discount-codes/{id} was added so a discount code can be removed outright, not only deactivated. It is safe because orders.discount_code stores the code as text, so an order placed with a code keeps its record after the code is deleted. Requires marketing.manage.</w:t>
      </w:r>
    </w:p>
    <w:p>
      <w:pPr>
        <w:pStyle w:val="BodyText"/>
      </w:pPr>
      <w:r>
        <w:t>No schema change and no change to the delegation rules — marketing.manage is an operations-domain permission and cms.manage a governance-domain permission, both already delegable by the Managing Director (all domains, group-wide). The permission guard is an any-of match on the caller's effective permissions, so adding the two codes to the role is sufficient; the admin screens already showed the controls to this role because it holds identity.user.manage.</w:t>
      </w:r>
    </w:p>
    <w:p>
      <w:pPr>
        <w:pStyle w:val="BodyText"/>
      </w:pPr>
      <w:r>
        <w:t>Verified as the Managing Director: create, update, deactivate and delete a discount code; create, update and delete a promo banner; create, update, publish, unpublish and delete a content page — every call returned 200 or 201. A role without the codes (Auditor) is still refused (403).</w:t>
      </w:r>
    </w:p>
    <w:p>
      <w:pPr>
        <w:pStyle w:val="Heading2"/>
      </w:pPr>
      <w:r>
        <w:t>Impact on this document</w:t>
      </w:r>
    </w:p>
    <w:p>
      <w:pPr>
        <w:pStyle w:val="BodyText"/>
      </w:pPr>
      <w:r>
        <w:t>Administrator Manual: the seeded holders of the Marketing and CMS permissions are updated — Super Administrator, IT Administrator and Managing Director hold all four (marketing.manage / viewAll, cms.manage / viewAll); Sales Manager holds marketing.*. A discount code can now be deleted (DELETE /marketing/discount-codes/{id}) as well as deactivated.</w:t>
      </w:r>
    </w:p>
    <w:p>
      <w:pPr>
        <w:pStyle w:val="Heading1"/>
      </w:pPr>
      <w:r>
        <w:t>53. Implementation Status Update 39 (28 August 2026) — Localisation Extended to Promo Banners &amp; CMS Content</w:t>
      </w:r>
    </w:p>
    <w:p>
      <w:pPr>
        <w:pStyle w:val="BodyText"/>
      </w:pPr>
      <w:r>
        <w:t>The database-content localisation delivered earlier (read in the customer's language, store the customer's input in English) covered the catalogue, support tickets and delivery addresses. The two storefront surfaces activated since then — promotional banners and CMS content pages — were still served as stored English. They now pass through the same translation seam.</w:t>
      </w:r>
    </w:p>
    <w:p>
      <w:pPr>
        <w:pStyle w:val="BodyText"/>
      </w:pPr>
      <w:r>
        <w:t>What changed:</w:t>
      </w:r>
    </w:p>
    <w:p>
      <w:pPr>
        <w:pStyle w:val="BodyText"/>
      </w:pPr>
      <w:r>
        <w:t>•  Promo banners: GET /customer-portal/promo-banners now honours Accept-Language: heading, body and link label are rendered in the customer's chosen language through the content-translation glossary, and digits are shown in the language's own script (e.g. Arabic-Indic for Arabic).</w:t>
      </w:r>
    </w:p>
    <w:p>
      <w:pPr>
        <w:pStyle w:val="BodyText"/>
      </w:pPr>
      <w:r>
        <w:t>•  CMS content pages: GET /customer-portal/content and /content/{slug} now honour Accept-Language: the page title and body are rendered in the customer's language. The canonical stored value stays English; only the response is localised.</w:t>
      </w:r>
    </w:p>
    <w:p>
      <w:pPr>
        <w:pStyle w:val="BodyText"/>
      </w:pPr>
      <w:r>
        <w:t>•  Discount-code messages: the checkout discount validator returns a stable messageKey (with parameters where needed, e.g. the minimum order amount) instead of only an English sentence, so the storefront shows “that code has expired”, “this code needs a subtotal of at least …”, etc. in the chosen language. An English message is still returned as a fallback and is what the 409 on order placement carries server-side.</w:t>
      </w:r>
    </w:p>
    <w:p>
      <w:pPr>
        <w:pStyle w:val="BodyText"/>
      </w:pPr>
      <w:r>
        <w:t>•  Glossary + provider seam: the curated glossary gains the seeded banner and content strings for the eight fully-translated languages (Swahili, Luganda, French, Spanish, Portuguese, German, Italian, Arabic). Body prose beyond the curated entries still falls through to the translation provider, whose bundled implementation is a no-op until a real machine-translation service is configured — the same documented boundary as for product descriptions and ticket bodies.</w:t>
      </w:r>
    </w:p>
    <w:p>
      <w:pPr>
        <w:pStyle w:val="BodyText"/>
      </w:pPr>
      <w:r>
        <w:t>Write direction is unchanged and was re-verified: a customer typing in another language still has their input normalised to English on save, with the original wording kept alongside (support tickets, delivery addresses). Nothing in the promo / CMS flows is customer-typed — a discount code is a language-neutral identifier and the subtotal is computed client-side in Western digits — so no new store-in-English handling was required there.</w:t>
      </w:r>
    </w:p>
    <w:p>
      <w:pPr>
        <w:pStyle w:val="BodyText"/>
      </w:pPr>
      <w:r>
        <w:t>Changes: marketing.service.ts and cms.service.ts take a language argument and localise their storefront responses via ContentTranslationService; customer-storefront.controller.ts reads Accept-Language and resolves it; discount.util.ts adds messageKey / messageParams to every outcome; the storefront cart renders the message key through its i18n catalogue; content-glossary.ts and the eight-language storefront locale files gain the new strings. No schema change. Verified: promo banner and About / Terms / Delivery pages render in French, Swahili, German and Arabic (with Arabic-Indic digits); the English view is unchanged; a delivery address typed in Swahili is still stored as English with the original kept.</w:t>
      </w:r>
    </w:p>
    <w:p>
      <w:pPr>
        <w:pStyle w:val="Heading2"/>
      </w:pPr>
      <w:r>
        <w:t>Impact on this document</w:t>
      </w:r>
    </w:p>
    <w:p>
      <w:pPr>
        <w:pStyle w:val="BodyText"/>
      </w:pPr>
      <w:r>
        <w:t>Administrator Manual: promo banners and CMS content pages are authored in English and localised to the customer on read via the glossary + provider seam, exactly like catalogue text; long body prose needs a configured machine-translation provider (CONTENT_TRANSLATION_PROVIDER) to go beyond the curated glossary.</w:t>
      </w:r>
    </w:p>
    <w:p>
      <w:pPr>
        <w:pStyle w:val="Heading1"/>
      </w:pPr>
      <w:r>
        <w:t>54. Implementation Status Update 40 (28 August 2026) — HR Dashboard &amp; Departments Sections Activated</w:t>
      </w:r>
    </w:p>
    <w:p>
      <w:pPr>
        <w:pStyle w:val="BodyText"/>
      </w:pPr>
      <w:r>
        <w:t>Two HUMAN RESOURCES placeholders from the navigation redesign — HR Dashboard and Departments — are now working screens.</w:t>
      </w:r>
    </w:p>
    <w:p>
      <w:pPr>
        <w:pStyle w:val="BodyText"/>
      </w:pPr>
      <w:r>
        <w:t>What was delivered:</w:t>
      </w:r>
    </w:p>
    <w:p>
      <w:pPr>
        <w:pStyle w:val="BodyText"/>
      </w:pPr>
      <w:r>
        <w:t>•  HR Dashboard: a new read-only endpoint GET /api/v1/hr/dashboard aggregates the employee, attendance, leave and recruitment modules into four groups: headcount (active / inactive, and by company, branch, department and contract type); attendance over the last 30 days (records, absence rate, late rate, present / half-day); recruitment (open vacancies, positions open, awaiting approval, and the candidate pipeline by stage); and upcoming events over the next 30 days (contracts ending, probation ending, approved leave starting). Visible to any holder of an HR viewAll permission (employee / recruitment / attendance / leave / performance); figures are group-wide for those holders and limited to the caller's companies otherwise.</w:t>
      </w:r>
    </w:p>
    <w:p>
      <w:pPr>
        <w:pStyle w:val="BodyText"/>
      </w:pPr>
      <w:r>
        <w:t>•  Departments: a dedicated management screen. A new endpoint GET /api/v1/organization/departments lists every department across the companies in the caller's scope, each with its company name and current headcount. Create, rename and delete reuse the existing organization endpoints (POST /organization/companies/{id}/departments, PATCH and DELETE /organization/departments/{id}); the delete is still blocked (409) while staff are assigned. Writes require organization.company.manage; the list is also visible to organization.company.viewAll / employee.viewAll / recruitment.viewAll holders as a read-only view.</w:t>
      </w:r>
    </w:p>
    <w:p>
      <w:pPr>
        <w:pStyle w:val="BodyText"/>
      </w:pPr>
      <w:r>
        <w:t>•  Demo data: Morise Agro Ltd gains three departments (Field Operations, Finance &amp; Administration, Warehouse &amp; Distribution) with its three employees assigned one each; about three working weeks of recent attendance records with a realistic scatter of late / absent days; one fixed-term contract ending in about three weeks; and one approved leave starting in about ten days — so both screens show live figures on a fresh database.</w:t>
      </w:r>
    </w:p>
    <w:p>
      <w:pPr>
        <w:pStyle w:val="BodyText"/>
      </w:pPr>
      <w:r>
        <w:t>Backend: a new module src/hr-dashboard (controller + service), registered in app.module.ts; src/organization/departments gains a listAll() service method and a GET route on the /organization/departments controller. No schema change and no new permission — the HR Dashboard is gated on the existing HR viewAll codes, Departments management on the existing organization.company.manage.</w:t>
      </w:r>
    </w:p>
    <w:p>
      <w:pPr>
        <w:pStyle w:val="BodyText"/>
      </w:pPr>
      <w:r>
        <w:t>Admin frontend: new pages src/pages/Hr.jsx (KPI tiles + breakdown tables + pipeline + upcoming-events lists) and src/pages/Departments.jsx (filterable table with headcount, plus New / Rename / Delete for managers), replacing the &lt;ComingSoon&gt; stubs for /hr and /departments in App.jsx; both sidebar entries lose their “Soon” badge and are permission-filtered. Verified: as the Managing Director the HR Dashboard returns headcount 3 across 3 departments, 45 attendance records (4.4% absence, 13.3% late), the recruitment pipeline, and the seeded contract-ending and leave-starting rows; a Human Resources Manager sees the same (group-wide for its own function); a Sales Manager without an HR viewAll permission is refused (403). Departments create / rename / delete all succeed, and deleting a department that still has staff is refused (409).</w:t>
      </w:r>
    </w:p>
    <w:p>
      <w:pPr>
        <w:pStyle w:val="Heading2"/>
      </w:pPr>
      <w:r>
        <w:t>Impact on this document</w:t>
      </w:r>
    </w:p>
    <w:p>
      <w:pPr>
        <w:pStyle w:val="BodyText"/>
      </w:pPr>
      <w:r>
        <w:t>Administrator Manual: the HR Dashboard is read-only and visible to holders of employee / recruitment / attendance / leave / performance viewAll; Departments management requires organization.company.manage (Managing Director, Super Administrator, IT Administrator) with a read-only view for the HR / org viewAll roles. Deleting a department requires it to have no employees.</w:t>
      </w:r>
    </w:p>
    <w:p>
      <w:pPr>
        <w:pStyle w:val="Heading1"/>
      </w:pPr>
      <w:r>
        <w:t>55. Implementation Status Update 41 (28 August 2026) — Shift Scheduling &amp; Payroll Sections Activated</w:t>
      </w:r>
    </w:p>
    <w:p>
      <w:pPr>
        <w:pStyle w:val="BodyText"/>
      </w:pPr>
      <w:r>
        <w:t>The last two HUMAN RESOURCES placeholders from the navigation redesign — Shift Scheduling and Payroll — are now working modules.</w:t>
      </w:r>
    </w:p>
    <w:p>
      <w:pPr>
        <w:pStyle w:val="BodyText"/>
      </w:pPr>
      <w:r>
        <w:t>What was delivered:</w:t>
      </w:r>
    </w:p>
    <w:p>
      <w:pPr>
        <w:pStyle w:val="BodyText"/>
      </w:pPr>
      <w:r>
        <w:t>•  Shift Scheduling: a new roster_entries table (RosterEntry: one employee x one calendar day -&gt; one shift template, status planned or published; one entry per employee per day, a second is rejected as a clash). Endpoints GET/POST/DELETE /api/v1/shift-scheduling/entries, POST /shift-scheduling/publish (promotes a date range from planned to published and notifies the affected employees) and GET /shift-scheduling/coverage (per-day staffed count, unrostered count and clash flags — an employee rostered on a day they are also on approved leave). Roster writes reuse attendance.manage; no new permission was added for shift scheduling.</w:t>
      </w:r>
    </w:p>
    <w:p>
      <w:pPr>
        <w:pStyle w:val="BodyText"/>
      </w:pPr>
      <w:r>
        <w:t>•  Payroll: a monthly payroll run. Employee gains gross_salary and pay_frequency. New payroll_runs, payslips and salary_advances tables with their status enums. POST /api/v1/payroll/runs computes, per active employee with a gross salary, the Uganda PAYE (income-tax bands) and NSSF (5% employee, 10% employer) figures plus any approved salary-advance instalment, and produces a payslip; the run moves draft -&gt; approved -&gt; paid. Paying it posts a balanced journal entry (Dr staff costs = gross + employer NSSF; Cr PAYE Payable, NSSF Payable, Staff Advances and Salaries Payable) and advances each recovered salary advance.</w:t>
      </w:r>
    </w:p>
    <w:p>
      <w:pPr>
        <w:pStyle w:val="BodyText"/>
      </w:pPr>
      <w:r>
        <w:t>•  Salary advances: GET /payroll/salary-advances, POST (request), and POST .../approve | .../reject. An approved advance is recovered in instalments (amount / instalments, capped at the outstanding balance and never taking net pay below zero) automatically on each payroll run, and flips to recovered when fully repaid.</w:t>
      </w:r>
    </w:p>
    <w:p>
      <w:pPr>
        <w:pStyle w:val="BodyText"/>
      </w:pPr>
      <w:r>
        <w:t>•  Permissions &amp; roles: three new permissions (hr domain): payroll.manage (create a run, request an advance), payroll.approve (approve / pay a run, approve / reject an advance) and payroll.viewAll. Seeded to Super Administrator and IT Administrator (all three), Human Resources Manager (manage + viewAll), Managing Director and Finance Manager (approve + viewAll) — the same prepare-vs-approve split already used for expenses. The delegation rules are unchanged (hr-domain permissions are already delegable by the HR Manager).</w:t>
      </w:r>
    </w:p>
    <w:p>
      <w:pPr>
        <w:pStyle w:val="BodyText"/>
      </w:pPr>
      <w:r>
        <w:t>Backend: new modules src/shift-scheduling and src/payroll (with a database-free src/payroll/uganda-statutory.util.ts for the PAYE / NSSF calculation), registered in app.module.ts. Migration 20260828190000_shift_scheduling_payroll adds the four tables, the three enums and the two Employee columns. The seed sets a gross salary on the demo Agro employees, a published roster for the current week and a planned one for next week, and one approved salary advance.</w:t>
      </w:r>
    </w:p>
    <w:p>
      <w:pPr>
        <w:pStyle w:val="BodyText"/>
      </w:pPr>
      <w:r>
        <w:t>Admin frontend: new pages src/pages/ShiftScheduling.jsx (a weekly employee x day roster grid with a coverage row, add / remove assignment and a one-click Publish) and src/pages/Payroll.jsx (payroll runs with a payslip breakdown and approve / pay / cancel, and a salary-advances tab), replacing the &lt;ComingSoon&gt; stubs for /shift-scheduling and /payroll in App.jsx; both sidebar entries lose their “Soon” badge and are permission-filtered. Verified: a Human Resources Manager builds and publishes a roster and creates a draft payroll run (Agro: 3 staff, gross UGX 5,600,000, PAYE UGX 1,386,000, employee NSSF UGX 280,000, net UGX 3,734,000; PAYE for a UGX 2,800,000 salary computes to UGX 742,000, matching the band schedule); the Managing Director approves and pays it, posting a balanced journal entry (Dr 6,160,000 / Cr 6,160,000) and advancing the seeded salary advance to “recovering” (UGX 200,000 of UGX 600,000); a Sales Manager with no HR permission is refused (403); a duplicate run for the same month is refused (409); a second roster entry for the same employee and day is refused (409).</w:t>
      </w:r>
    </w:p>
    <w:p>
      <w:pPr>
        <w:pStyle w:val="Heading2"/>
      </w:pPr>
      <w:r>
        <w:t>Impact on this document</w:t>
      </w:r>
    </w:p>
    <w:p>
      <w:pPr>
        <w:pStyle w:val="BodyText"/>
      </w:pPr>
      <w:r>
        <w:t>Administrator Manual: Shift Scheduling is visible to holders of attendance.viewAll and edited with attendance.manage. Payroll is visible to payroll.viewAll / manage / approve; creating a run and requesting an advance need payroll.manage, approving / paying / approving an advance need payroll.approve. Seeded holders: Super Administrator, IT Administrator (all three); Human Resources Manager (manage + viewAll); Managing Director, Finance Manager (approve + viewAll). Paying a run requires an open financial period; the PAYE / NSSF constants are in src/payroll/uganda-statutory.util.ts.</w:t>
      </w:r>
    </w:p>
    <w:p>
      <w:pPr>
        <w:pStyle w:val="Heading1"/>
      </w:pPr>
      <w:r>
        <w:t>56. Implementation Status Update 42 (28 August 2026) — My HR Self-Service Sections Activated</w:t>
      </w:r>
    </w:p>
    <w:p>
      <w:pPr>
        <w:pStyle w:val="BodyText"/>
      </w:pPr>
      <w:r>
        <w:t>The six MY HR placeholders from the navigation redesign — Clock In / Out, My Leave, My Shifts, My Performance, My Payslips and My Salary Advances — are now working self-service screens. Every one is scoped to the Employee record linked to the signed-in user; an account with no linked record sees a friendly notice on each screen.</w:t>
      </w:r>
    </w:p>
    <w:p>
      <w:pPr>
        <w:pStyle w:val="BodyText"/>
      </w:pPr>
      <w:r>
        <w:t>What was delivered:</w:t>
      </w:r>
    </w:p>
    <w:p>
      <w:pPr>
        <w:pStyle w:val="BodyText"/>
      </w:pPr>
      <w:r>
        <w:t>•  New read layer: a new module src/my-hr with GET /api/v1/my-hr/{summary,attendance,leave,shifts,performance,payslips,salary-advances}. Each resolves the caller's Employee via Employee.userId and returns only that person's data — attendance records and today's clock state, leave balances and requests, roster entries, performance reviews and objectives, paid payslips, and salary advances. No permission is required — these are “my own” reads.</w:t>
      </w:r>
    </w:p>
    <w:p>
      <w:pPr>
        <w:pStyle w:val="BodyText"/>
      </w:pPr>
      <w:r>
        <w:t>•  Self-service actions: Clock In / Out calls the existing POST /attendance/clock-in|clock-out (already un-gated and self-resolving); My Leave calls POST /leave/applications and .../cancel; My Performance calls POST /performance/reviews/{id}/self-assessment (which already checks the review belongs to the caller). Only “request a salary advance for myself” is new: POST /api/v1/my-hr/salary-advances creates a requested advance for the caller's employee (the staff endpoint needs payroll.manage), with a one-open-advance-at-a-time guard (409).</w:t>
      </w:r>
    </w:p>
    <w:p>
      <w:pPr>
        <w:pStyle w:val="BodyText"/>
      </w:pPr>
      <w:r>
        <w:t>•  Screens: src/pages/MyHr.jsx — six components. Clock In / Out: today's status, one-tap clock in / out, 30-day present / late / absent counts and a record history. My Leave: balance cards per type and a requests table with Apply and Cancel. My Shifts: the employee's roster (published and planned), today highlighted. My Performance: objectives, reviews, and a self-assessment dialog when one is pending. My Payslips: a payslip list and a breakdown dialog (gross, PAYE, NSSF, advance recovery, net). My Salary Advances: the employee's advances with outstanding balance, and a Request dialog.</w:t>
      </w:r>
    </w:p>
    <w:p>
      <w:pPr>
        <w:pStyle w:val="BodyText"/>
      </w:pPr>
      <w:r>
        <w:t>No schema change and no new permission — the module reads existing tables (attendance_records, leave_balances / leave_applications, roster_entries, performance_reviews / performance_objectives, payslips, salary_advances) and reuses the un-gated self-service actions the attendance, leave and performance modules already expose. The six routes were already marked always-visible in the front-end capability map; they are removed from STUB_ROUTES and the sidebar entries lose their “Soon” badge.</w:t>
      </w:r>
    </w:p>
    <w:p>
      <w:pPr>
        <w:pStyle w:val="BodyText"/>
      </w:pPr>
      <w:r>
        <w:t>Verified with the demo persona whose login is linked to an employee record: the summary returns the linked profile (name, department, company, shift, gross salary); clocking in updates today's state and the 30-day counts; leave balances and the approved / submitted requests display, and a new request can be submitted and cancelled; the roster shows this week's published and next week's planned shifts; the completed performance review and its rating display; requesting a salary advance succeeds and a second concurrent request is refused (409). An account with no linked employee record gets linked:false from the summary and a 404 from the detail endpoints, and each screen shows the “ask HR to link your account” notice.</w:t>
      </w:r>
    </w:p>
    <w:p>
      <w:pPr>
        <w:pStyle w:val="Heading2"/>
      </w:pPr>
      <w:r>
        <w:t>Impact on this document</w:t>
      </w:r>
    </w:p>
    <w:p>
      <w:pPr>
        <w:pStyle w:val="BodyText"/>
      </w:pPr>
      <w:r>
        <w:t>Administrator Manual: the My HR screens require only a login linked to an employee record (Employee.userId); no permission is involved. To give a staff member self-service, link their user to their employee record. A salary advance a staff member requests here arrives in Payroll → Salary advances for an approver (payroll.approve).</w:t>
      </w:r>
    </w:p>
    <w:p>
      <w:pPr>
        <w:pStyle w:val="Heading1"/>
      </w:pPr>
      <w:r>
        <w:t>57. Implementation Status Update 43 (28 August 2026) — Demo Staff Logins Linked to Employee Records</w:t>
      </w:r>
    </w:p>
    <w:p>
      <w:pPr>
        <w:pStyle w:val="BodyText"/>
      </w:pPr>
      <w:r>
        <w:t>The My HR self-service screens work only for a login that is linked to an employee record (Employee.userId). Until now only one demo persona (the Branch Manager) was linked, so every other demo login saw the “your account is not linked to an employee record” notice on those screens. All the seeded staff logins are now linked.</w:t>
      </w:r>
    </w:p>
    <w:p>
      <w:pPr>
        <w:pStyle w:val="BodyText"/>
      </w:pPr>
      <w:r>
        <w:t>What changed:</w:t>
      </w:r>
    </w:p>
    <w:p>
      <w:pPr>
        <w:pStyle w:val="BodyText"/>
      </w:pPr>
      <w:r>
        <w:t>•  Linked accounts: the Managing Director, IT Administrator and Auditor logins are linked to new employee records in Morise Holdings Limited; the Human Resources Manager, Finance Manager, Sales Manager and Procurement Manager logins to new records in Morise Agro Ltd. Each record has a job title, department, monthly gross salary and employment start date; the Agro records also have the Day Shift and a published roster for the current week. Every linked employee gets the 2026 leave-balance set (21 annual, 10 sick, 90 maternity, 4 paternity, 5 emergency).</w:t>
      </w:r>
    </w:p>
    <w:p>
      <w:pPr>
        <w:pStyle w:val="BodyText"/>
      </w:pPr>
      <w:r>
        <w:t>•  Effect: signed in as any seeded staff persona, the six My HR screens now show that person's own data — profile summary, attendance and clock state, leave balances, roster, performance reviews, payslips (once a run that includes them is paid) and salary advances — instead of the “not linked” notice. A login still genuinely unlinked (for example a future user created without an employee record) continues to see the notice.</w:t>
      </w:r>
    </w:p>
    <w:p>
      <w:pPr>
        <w:pStyle w:val="BodyText"/>
      </w:pPr>
      <w:r>
        <w:t>This is a seed-data change only — no schema, code or permission change. The linking mechanism already existed (the employee create/update API accepts a userId); the seed now uses it for the demo staff. Side effect: the HR Dashboard headcount and the Departments screen counts rise accordingly (Morise Holdings Limited now has three staffed departments, Morise Agro Ltd seven employees), and a payroll run for either company would include the newly-salaried staff. Verified: each seeded staff login returns linked:true from GET /api/v1/my-hr/summary with a full profile, and the My HR detail endpoints return that person's rows.</w:t>
      </w:r>
    </w:p>
    <w:p>
      <w:pPr>
        <w:pStyle w:val="Heading2"/>
      </w:pPr>
      <w:r>
        <w:t>Impact on this document</w:t>
      </w:r>
    </w:p>
    <w:p>
      <w:pPr>
        <w:pStyle w:val="BodyText"/>
      </w:pPr>
      <w:r>
        <w:t>Administrator Manual: to enable My HR for a staff member, set the userId on their employee record (employee create/edit). The seed now does this for the Managing Director, IT Administrator, Auditor, Human Resources Manager, Finance Manager, Sales Manager and Procurement Manager logins.</w:t>
      </w:r>
    </w:p>
    <w:p>
      <w:pPr>
        <w:pStyle w:val="Heading1"/>
      </w:pPr>
      <w:r>
        <w:t>58. Implementation Status Update 44 (28 August 2026) — Financial &amp; Accounting Overview Activated</w:t>
      </w:r>
    </w:p>
    <w:p>
      <w:pPr>
        <w:pStyle w:val="BodyText"/>
      </w:pPr>
      <w:r>
        <w:t>The one remaining placeholder in the whole regrouped navigation — the Financial &amp; Accounting overview landing tile — is now a working read-only screen. With this every entry in the ADMIN / BACKEND, HUMAN RESOURCES, MY HR and FINANCIAL &amp; ACCOUNTING categories opens a working screen.</w:t>
      </w:r>
    </w:p>
    <w:p>
      <w:pPr>
        <w:pStyle w:val="BodyText"/>
      </w:pPr>
      <w:r>
        <w:t>What was delivered:</w:t>
      </w:r>
    </w:p>
    <w:p>
      <w:pPr>
        <w:pStyle w:val="BodyText"/>
      </w:pPr>
      <w:r>
        <w:t>•  Overview endpoint: a new module src/finance with GET /api/v1/finance/overview. It returns three parts. (1) The consolidated group financial position — total assets, liabilities and equity, cash position and bank balances, outstanding receivables and payables, and open-period revenue, expense and net profit, group-wide and per company — reusing the computation the dashboard already performs. (2) “Needs attention” working-capital figures — accounts-payable outstanding amount and count (with overdue and pending-approval counts), accounts-receivable outstanding amount and count (with overdue), expense claims awaiting finance approval, active-asset net book value and disposal requests, and active / on-hold / planned project counts. (3) Period-close status — each company's current financial period with its dates and open/closed state, and the group totals of open and closed periods.</w:t>
      </w:r>
    </w:p>
    <w:p>
      <w:pPr>
        <w:pStyle w:val="BodyText"/>
      </w:pPr>
      <w:r>
        <w:t>•  Screen: src/pages/Finance.jsx — KPI tiles for the group position, a by-company table, a “Needs attention” tile row, a period-close table, and a grid of shortcut cards into the working finance sub-screens (General Ledger &amp; Journals, Accounts Payable, Expenses, Assets, Projects, Reports, Suppliers, Inter-Company). It replaces the &lt;ComingSoon&gt; stub for /finance in App.jsx; the sidebar entry loses its “Soon” badge and STUB_ROUTES is now empty.</w:t>
      </w:r>
    </w:p>
    <w:p>
      <w:pPr>
        <w:pStyle w:val="BodyText"/>
      </w:pPr>
      <w:r>
        <w:t>•  Access: read-only, no new permission. The endpoint is gated on any one of the finance-area permissions — the same list the front-end capability map already uses for the /finance route (accounting / ap / expense / asset / project / supplier / inter-company, in their manage / approve / viewAll forms). A user with none of them is refused (403).</w:t>
      </w:r>
    </w:p>
    <w:p>
      <w:pPr>
        <w:pStyle w:val="BodyText"/>
      </w:pPr>
      <w:r>
        <w:t>No schema change. The DashboardModule now exports its service so the finance overview can reuse the balance-sheet and income computation; everything else is a straightforward aggregation over supplier invoices, customer invoices, expenses, assets, projects and financial periods. Verified: as a Finance Manager the overview returns the consolidated position (group net profit UGX 19,833,800 across five companies), the working-capital figures (AP UGX 500,000 outstanding, AR UGX 15,301,200 with 3 overdue, one expense claim awaiting finance, asset net book value UGX 45,000,000, one active project) and the two open FY2026-Q1 periods; a Sales Manager with no finance permission is refused (403).</w:t>
      </w:r>
    </w:p>
    <w:p>
      <w:pPr>
        <w:pStyle w:val="Heading2"/>
      </w:pPr>
      <w:r>
        <w:t>Impact on this document</w:t>
      </w:r>
    </w:p>
    <w:p>
      <w:pPr>
        <w:pStyle w:val="BodyText"/>
      </w:pPr>
      <w:r>
        <w:t>Administrator Manual: the Financial &amp; Accounting overview is read-only and visible to any holder of a finance-area permission; it aggregates the accounting, AP, expense, asset, project and financial-period data and links into their screens. Closing a period is still done in General Ledger &amp; Journals.</w:t>
      </w:r>
    </w:p>
    <w:p>
      <w:pPr>
        <w:pStyle w:val="Heading1"/>
      </w:pPr>
      <w:r>
        <w:t>59. Implementation Status Update 45 (29 August 2026) — Customer Sign-Up, Multi-Identifier Login &amp; Password Reset</w:t>
      </w:r>
    </w:p>
    <w:p>
      <w:pPr>
        <w:pStyle w:val="BodyText"/>
      </w:pPr>
      <w:r>
        <w:t>The Customer Storefront login previously accepted only a staff-issued email or account number and had no self-registration and no password reset. Customers can now sign themselves up, sign in with an email, phone number or account number (or with Google), and reset a forgotten password.</w:t>
      </w:r>
    </w:p>
    <w:p>
      <w:pPr>
        <w:pStyle w:val="BodyText"/>
      </w:pPr>
      <w:r>
        <w:t>What was delivered:</w:t>
      </w:r>
    </w:p>
    <w:p>
      <w:pPr>
        <w:pStyle w:val="BodyText"/>
      </w:pPr>
      <w:r>
        <w:t>•  Sign up: POST /api/v1/customer-portal/auth/register (name, email, optional phone, password, and which Morise company to buy from — listed by the public GET /customer-portal/auth/companies). It creates an active customer with a generated account number and starter terms (a small credit limit and 14-day payment terms, for staff to review in the CRM) and signs the customer straight in. A second account for the same email or phone is refused (409).</w:t>
      </w:r>
    </w:p>
    <w:p>
      <w:pPr>
        <w:pStyle w:val="BodyText"/>
      </w:pPr>
      <w:r>
        <w:t>•  Login by email, phone or account number: the single identifier field now matches a customer's email, account number OR phone. The phone match ignores formatting and country-code style, so “+256 701 234 567”, “0701234567” and “701234567” all resolve to the same account. The 5-attempt lockout is unchanged.</w:t>
      </w:r>
    </w:p>
    <w:p>
      <w:pPr>
        <w:pStyle w:val="BodyText"/>
      </w:pPr>
      <w:r>
        <w:t>•  Sign in with Google: POST /api/v1/customer-portal/auth/google. In production the request carries a verified Google ID token; this offline build trusts the email the “Continue with Google” button sends (a documented seam, like the deferred payment gateway and in-app-only notifications). A known email is signed in passwordlessly; an unknown email auto-registers a Google-linked account.</w:t>
      </w:r>
    </w:p>
    <w:p>
      <w:pPr>
        <w:pStyle w:val="BodyText"/>
      </w:pPr>
      <w:r>
        <w:t>•  Forgot / reset password: POST /customer-portal/auth/forgot-password (by email, phone or account number) issues a one-time token stored hashed with a 30-minute expiry; POST /customer-portal/auth/reset-password consumes it, sets the new password, clears any lockout and revokes every active session. With no SMTP/SMS in this build the plain token is returned in the response in dev so the flow completes end to end; a real deployment e-mails / SMSes a link instead. The forgot-password response is identical whether or not an account matched, so it never reveals which identifiers are registered.</w:t>
      </w:r>
    </w:p>
    <w:p>
      <w:pPr>
        <w:pStyle w:val="BodyText"/>
      </w:pPr>
      <w:r>
        <w:t>Backend: src/customer-portal/auth gains the four endpoints plus the companies list on the existing CustomerAuthController /Service; a new customer_password_reset_tokens table and two Customer columns (self_registered, google_linked) via migration 20260829090000_customer_self_service_auth. Every new endpoint is rate-limited. Storefront: new pages /register, /forgot-password and /reset-password, a “Continue with Google” component, and the login screen updated with the new identifier label, a “Forgot your password?” link and a “Create an account” link; the auth strings are added to the eight fully-translated languages.</w:t>
      </w:r>
    </w:p>
    <w:p>
      <w:pPr>
        <w:pStyle w:val="BodyText"/>
      </w:pPr>
      <w:r>
        <w:t>Verified end to end: a new customer registers and is signed in with a generated account number; the same customer then signs in with the email, with the phone in three different formats, and with the account number; a duplicate registration is refused (409); Google sign-in logs an existing customer in and auto-registers a new one; a reset token issued by forgot-password lets the customer set a new password, after which the old password is rejected and the token cannot be reused (401); forgot-password for an unknown identifier still returns 200 with no token.</w:t>
      </w:r>
    </w:p>
    <w:p>
      <w:pPr>
        <w:pStyle w:val="Heading2"/>
      </w:pPr>
      <w:r>
        <w:t>Impact on this document</w:t>
      </w:r>
    </w:p>
    <w:p>
      <w:pPr>
        <w:pStyle w:val="BodyText"/>
      </w:pPr>
      <w:r>
        <w:t>Administrator Manual: self-registered customers appear in the CRM as category “Self-registered” with a small starter credit limit and 14-day terms for staff to review; a Google-linked account has no password. Reset links are delivered by the configured e-mail / SMS provider (a seam — the token is surfaced directly in a non-production build).</w:t>
      </w:r>
    </w:p>
    <w:p>
      <w:pPr>
        <w:pStyle w:val="Heading1"/>
      </w:pPr>
      <w:r>
        <w:t>60. Implementation Status Update 46 (29 August 2026) — One Storefront Across Every Subsidiary and Its Branches</w:t>
      </w:r>
    </w:p>
    <w:p>
      <w:pPr>
        <w:pStyle w:val="BodyText"/>
      </w:pPr>
      <w:r>
        <w:t>The Customer Storefront previously showed only the products of the one Morise company on the customer's account. It now shows the priced, active products and services of every subsidiary in the holding group, each listing tagged with the subsidiary that sells it and the branch that produces or fulfils it, and the customer's own screens always show which subsidiary and branch their account belongs to.</w:t>
      </w:r>
    </w:p>
    <w:p>
      <w:pPr>
        <w:pStyle w:val="BodyText"/>
      </w:pPr>
      <w:r>
        <w:t>What was delivered:</w:t>
      </w:r>
    </w:p>
    <w:p>
      <w:pPr>
        <w:pStyle w:val="BodyText"/>
      </w:pPr>
      <w:r>
        <w:t>•  Group catalogue: GET /api/v1/customer-portal/catalog/products now resolves the customer's holding group (the root holding company plus every active subsidiary) and lists all of their priced, active products, each carrying companyId / companyName and branchId / branchName / branchAddress. New companyId and branchId query filters; GET /customer-portal/catalog/categories spans the group; a new GET /customer-portal/catalog/subsidiaries returns the holding company plus each subsidiary with its branch list and its branch and product counts.</w:t>
      </w:r>
    </w:p>
    <w:p>
      <w:pPr>
        <w:pStyle w:val="BodyText"/>
      </w:pPr>
      <w:r>
        <w:t>•  Branch attribution: a nullable branch_id on products (the branch that produces / stocks / fulfils the item) and a nullable home_branch_id on customers (the branch of the customer's own subsidiary that serves the account), plus a real orders.company_id → companies foreign key, via migration 20260829120000_storefront_group_catalog_branch_attribution. Sign-up gains an optional home-branch picker backed by a public GET /customer-portal/auth/branches?companyId=.</w:t>
      </w:r>
    </w:p>
    <w:p>
      <w:pPr>
        <w:pStyle w:val="BodyText"/>
      </w:pPr>
      <w:r>
        <w:t>•  “Which subsidiary and branch is mine”: GET /customer-portal/me and the login / refresh token response now return companyId / companyName, homeBranchId / homeBranchName / homeBranchAddress and the holding company name; the storefront shows them in the header, on My Account and against every product.</w:t>
      </w:r>
    </w:p>
    <w:p>
      <w:pPr>
        <w:pStyle w:val="BodyText"/>
      </w:pPr>
      <w:r>
        <w:t>•  Checkout across subsidiaries: an order — with its invoice and balanced GL posting — belongs to the selling subsidiary, so a basket is placed as one order per subsidiary. The storefront groups the cart by selling company and posts each group in turn; the API rejects a single order that mixes companies (409). A discount code, which belongs to one subsidiary, is offered only on a single-company cart. The customer's credit limit stays one account-wide facility, checked across every subsidiary's invoices.</w:t>
      </w:r>
    </w:p>
    <w:p>
      <w:pPr>
        <w:pStyle w:val="BodyText"/>
      </w:pPr>
      <w:r>
        <w:t>•  Storefront: the Shop page gains company and branch filters and a per-card “company · branch” tag; a new Subsidiaries directory page lists every company in the group with its branches and counts; the cart is sectioned by fulfilling subsidiary with per-company subtotals and a “placed as N separate orders” note; My Account shows “you buy through &lt;subsidiary&gt; · &lt;branch&gt;, part of &lt;holding&gt;”; the new strings are added to the eight fully-translated languages.</w:t>
      </w:r>
    </w:p>
    <w:p>
      <w:pPr>
        <w:pStyle w:val="BodyText"/>
      </w:pPr>
      <w:r>
        <w:t>•  Seed: Morise Agro Ltd's eight products are attributed to its Kira HQ and Mbale branches, and Morise Logistics Ltd is given a four-item priced service catalogue (road freight Kampala–Mombasa and Kampala–Kigali, last-mile delivery, pallet storage) on its Jinja branch, so the group shop is genuinely multi-company; the demo portal customers are given a home branch.</w:t>
      </w:r>
    </w:p>
    <w:p>
      <w:pPr>
        <w:pStyle w:val="BodyText"/>
      </w:pPr>
      <w:r>
        <w:t>Verified end to end: signed in as the Highland Traders Ltd portal account (a Morise Agro customer), the shop lists all twelve products across Morise Agro Ltd and Morise Logistics Ltd, each tagged with its company and branch; the subsidiaries endpoint lists all four subsidiaries with branch and product counts; the company and branch filters narrow the list; GET /me returns the subsidiary, home branch and holding company. A cart mixing Agro and Logistics items is refused (409); a Logistics-only order places ORD-2026-0001 in Morise Logistics Ltd's books, with INV-2026-0001 and a posted sale journal entry (JE-2026-0005) in that company. Backend tsc and both front-end builds are clean.</w:t>
      </w:r>
    </w:p>
    <w:p>
      <w:pPr>
        <w:pStyle w:val="Heading2"/>
      </w:pPr>
      <w:r>
        <w:t>Impact on this document</w:t>
      </w:r>
    </w:p>
    <w:p>
      <w:pPr>
        <w:pStyle w:val="BodyText"/>
      </w:pPr>
      <w:r>
        <w:t>Admin — set a product's branch and a customer's home branch in the CRM; orders and invoices raised through the storefront are attributed to the selling subsidiary and appear under that company's Sales and Accounts Receivable screens for its staff.</w:t>
      </w:r>
    </w:p>
    <w:p>
      <w:pPr>
        <w:pStyle w:val="Heading1"/>
      </w:pPr>
      <w:r>
        <w:t>61. Implementation Status Update 47 (29 August 2026) — Clearing / Forwarding and Warehouse-Management Catalogues Added to the Group Storefront</w:t>
      </w:r>
    </w:p>
    <w:p>
      <w:pPr>
        <w:pStyle w:val="BodyText"/>
      </w:pPr>
      <w:r>
        <w:t>Update 46 made the Customer Storefront a group shop but only two subsidiaries had a priced catalogue (Morise Agro Ltd and Morise Logistics Ltd). The remaining two subsidiaries — Morise Clearing &amp; Forwarding Ltd and Morise Warehouse Management Ltd — now also sell in the storefront, so a customer sees the goods and services of all four Morise subsidiaries in one shop.</w:t>
      </w:r>
    </w:p>
    <w:p>
      <w:pPr>
        <w:pStyle w:val="BodyText"/>
      </w:pPr>
      <w:r>
        <w:t>What was delivered (seed data only — no code or schema change; the group-catalogue engine from Update 46 already supports any number of selling subsidiaries):</w:t>
      </w:r>
    </w:p>
    <w:p>
      <w:pPr>
        <w:pStyle w:val="BodyText"/>
      </w:pPr>
      <w:r>
        <w:t>•  Morise Clearing &amp; Forwarding Ltd — six priced services on its Kampala HQ, Entebbe Airport, Malaba and Busia branches: import customs clearance (per entry), air import clearance at Entebbe (per AWB), ocean freight forwarding Mombasa–Kampala (per 20ft container), air freight consolidation (per kg), transit bond &amp; T1 documentation on the Malaba corridor (per consignment), and Certificate of Origin &amp; export-permit handling (per set). Categories: Customs Clearance, Freight Forwarding, Transit &amp; Documentation.</w:t>
      </w:r>
    </w:p>
    <w:p>
      <w:pPr>
        <w:pStyle w:val="BodyText"/>
      </w:pPr>
      <w:r>
        <w:t>•  Morise Warehouse Management Ltd — six priced services on its Kampala Central, Jinja and Mbarara warehouses: ambient pallet storage, chilled cold storage and bonded storage (all per pallet-month), inbound handling &amp; putaway (per pallet), pick / pack / dispatch (per order line), and cycle count &amp; inventory reconciliation (per visit). Categories: Storage, Handling &amp; Fulfilment, Value-Added Services.</w:t>
      </w:r>
    </w:p>
    <w:p>
      <w:pPr>
        <w:pStyle w:val="BodyText"/>
      </w:pPr>
      <w:r>
        <w:t>•  Each of the two companies is given a minimal chart of accounts (Cash and Bank, Accounts Receivable, Accounts Payable, Retained Earnings, Service Revenue, Cost of Services) and an open FY2026-Q1 financial period, so an order placed through the storefront is invoiced and GL-posted in that subsidiary's own books, exactly as for Morise Agro Ltd and Morise Logistics Ltd. Their full Clearing/Forwarding and Warehouse Management systems (documents 19 and 20) remain unbuilt — this is the storefront-facing service list only.</w:t>
      </w:r>
    </w:p>
    <w:p>
      <w:pPr>
        <w:pStyle w:val="BodyText"/>
      </w:pPr>
      <w:r>
        <w:t>Verified end to end: signed in as the Highland Traders Ltd portal account, the shop now lists twenty-four products across all four subsidiaries (Agro 8, Clearing &amp; Forwarding 6, Warehouse Management 6, Logistics 4); the Subsidiaries directory shows every company with a non-zero product count and an enabled “Shop” button; an order placed for a Warehouse Management service creates ORD-2026-0001, INV-2026-0001 and a posted sale journal entry in Morise Warehouse Management Ltd's books, and the same for a Clearing &amp; Forwarding order in that company's books.</w:t>
      </w:r>
    </w:p>
    <w:p>
      <w:pPr>
        <w:pStyle w:val="Heading2"/>
      </w:pPr>
      <w:r>
        <w:t>Impact on this document</w:t>
      </w:r>
    </w:p>
    <w:p>
      <w:pPr>
        <w:pStyle w:val="BodyText"/>
      </w:pPr>
      <w:r>
        <w:t>Admin — Clearing &amp; Forwarding and Warehouse Management now have a storefront chart of accounts and an open period; their storefront orders and invoices appear under each company's Sales and Accounts Receivable screens for its staff.</w:t>
      </w:r>
    </w:p>
    <w:p>
      <w:pPr>
        <w:pStyle w:val="Heading1"/>
      </w:pPr>
      <w:r>
        <w:t>62. Implementation Status Update 48 (29 August 2026) — Content Localisation Extended to the Group Storefront — Read in the Chosen Language, Store Customer Input in English</w:t>
      </w:r>
    </w:p>
    <w:p>
      <w:pPr>
        <w:pStyle w:val="BodyText"/>
      </w:pPr>
      <w:r>
        <w:t>The "read database text in the customer's language, store the customer's input in English" behaviour first delivered on 27 August 2026 (and extended to promo banners and CMS content on 28 August) now also covers the storefront paths added by the group-catalogue work (sign-up, the group catalogue, the subsidiary directory and My Account). A customer sees the database in the language they chose; an administrator always reads English in the database.</w:t>
      </w:r>
    </w:p>
    <w:p>
      <w:pPr>
        <w:pStyle w:val="BodyText"/>
      </w:pPr>
      <w:r>
        <w:t>Read — shown in the chosen language:</w:t>
      </w:r>
    </w:p>
    <w:p>
      <w:pPr>
        <w:pStyle w:val="BodyText"/>
      </w:pPr>
      <w:r>
        <w:t>•  Every product listing's subsidiary, branch and branch-address tag, the group category list, and the whole Subsidiaries directory (each company name, its branch names and addresses) are now rendered in the customer's language through the same curated glossary the catalogue and support screens use — as far as the glossary reaches; company and place proper nouns largely pass through, while words like "Warehouse", "Forwarding", "Border", "Office", "Freight", "Storage", "Delivery" translate.</w:t>
      </w:r>
    </w:p>
    <w:p>
      <w:pPr>
        <w:pStyle w:val="BodyText"/>
      </w:pPr>
      <w:r>
        <w:t>•  GET /customer-portal/me returns the customer's own business name and address, and the subsidiary / branch / holding-company names, in the chosen language; when the customer is browsing in the language they typed their name or address in, their own exact wording is shown back instead of the glossary-translated English.</w:t>
      </w:r>
    </w:p>
    <w:p>
      <w:pPr>
        <w:pStyle w:val="BodyText"/>
      </w:pPr>
      <w:r>
        <w:t>•  The glossary gained the group-catalogue vocabulary: the eight new service categories (Freight Services, Warehousing Services, Customs Clearance, Freight Forwarding, Transit &amp; Documentation, Storage, Handling &amp; Fulfilment, Value-Added Services) and about thirty recurring service-name tokens (freight, forwarding, customs, clearance, transit, storage, handling, ocean, air, road, delivery, border, bonded, cold, ambient, inbound, dispatch, container, consolidation, cycle count, pick, pack, …), each in the eight fully-translated languages.</w:t>
      </w:r>
    </w:p>
    <w:p>
      <w:pPr>
        <w:pStyle w:val="BodyText"/>
      </w:pPr>
      <w:r>
        <w:t>Write — stored in English only:</w:t>
      </w:r>
    </w:p>
    <w:p>
      <w:pPr>
        <w:pStyle w:val="BodyText"/>
      </w:pPr>
      <w:r>
        <w:t>•  At sign-up the business name and phone number are normalised before storage: the name is mapped to English through the glossary (free-form remainder left to the translation-provider seam, a no-op until a real machine-translation service is configured) and any non-Western numerals a customer typed (for example Arabic-Indic digits in a phone number) are converted to 0-9. On My Account the same is done for the address and phone. The row keeps the source language and the customer's exact original wording (customers.source_language, customers.name_original, customers.address_original — migration 20260829150000_customer_content_originals) so the storefront can show the customer their own words and an administrator still reads the English columns, exactly as delivery addresses and support tickets already work.</w:t>
      </w:r>
    </w:p>
    <w:p>
      <w:pPr>
        <w:pStyle w:val="BodyText"/>
      </w:pPr>
      <w:r>
        <w:t>Verified: signed in as a customer browsing in Swahili, the shop shows "Huduma za Usafirishaji" for Freight Services and "Jinja Tawi" for Jinja Branch, and the Subsidiaries directory names read in Swahili; registering with an Arabic business name and an Arabic-Indic phone number stores "warehouse …" and "+256 701 234 555" in the database with source_language = ar and the original Arabic kept, GET /me returns the original Arabic to that customer and the English column to an English (admin) reader; editing the address in Swahili stores the English form with the Swahili original kept. Backend tsc clean.</w:t>
      </w:r>
    </w:p>
    <w:p>
      <w:pPr>
        <w:pStyle w:val="Heading2"/>
      </w:pPr>
      <w:r>
        <w:t>Impact on this document</w:t>
      </w:r>
    </w:p>
    <w:p>
      <w:pPr>
        <w:pStyle w:val="BodyText"/>
      </w:pPr>
      <w:r>
        <w:t>Admin — every customer's business name, address and phone is stored in English with 0-9 digits; where the customer typed another language the original wording and its language are on the row (customers.name_original / address_original / source_language) for reference.</w:t>
      </w:r>
    </w:p>
    <w:p>
      <w:pPr>
        <w:pStyle w:val="Heading1"/>
      </w:pPr>
      <w:r>
        <w:t>63. Implementation Status Update 49 (29 August 2026) — OpenAPI / Swagger API Documentation for the Phase 1 Backend</w:t>
      </w:r>
    </w:p>
    <w:p>
      <w:pPr>
        <w:pStyle w:val="BodyText"/>
      </w:pPr>
      <w:r>
        <w:t>09_API Specification, Section 1 described this deliverable as "a build-ready specification, not a finished OpenAPI/Swagger contract" and left the machine-readable contract to the engaged development team. That contract now exists and is generated from the running backend code.</w:t>
      </w:r>
    </w:p>
    <w:p>
      <w:pPr>
        <w:pStyle w:val="BodyText"/>
      </w:pPr>
      <w:r>
        <w:t>What was delivered (backend only — no database change, and no change to any endpoint's behaviour, request shape or response envelope):</w:t>
      </w:r>
    </w:p>
    <w:p>
      <w:pPr>
        <w:pStyle w:val="BodyText"/>
      </w:pPr>
      <w:r>
        <w:t>•  @nestjs/swagger is wired into the NestJS / Fastify backend in src/main.ts, with its CLI plugin enabled in nest-cli.json so request and response schemas are derived automatically from the existing class-validator DTOs. At the time of writing the document covers 245 paths, 309 operations and 116 component schemas.</w:t>
      </w:r>
    </w:p>
    <w:p>
      <w:pPr>
        <w:pStyle w:val="BodyText"/>
      </w:pPr>
      <w:r>
        <w:t>•  Interactive documentation (Swagger UI) is served at GET /api/v1/docs and the raw OpenAPI 3 document at GET /api/v1/docs-json, on the same port as the API (3001 in development). Two bearer security schemes — staff and customer — mirror the two JWT audiences already defined in .env (JWT_ACCESS_SECRET and JWT_CUSTOMER_ACCESS_SECRET); the UI’s Authorize state persists across reloads.</w:t>
      </w:r>
    </w:p>
    <w:p>
      <w:pPr>
        <w:pStyle w:val="BodyText"/>
      </w:pPr>
      <w:r>
        <w:t>•  A snapshot of the document is committed at backend/openapi.json and is refreshed with a new npm script, npm run openapi:generate, which reads /api/v1/docs-json from a running instance. Two dependencies were added: @nestjs/swagger and @fastify/static (the Fastify adapter serves the UI’s static assets through the latter).</w:t>
      </w:r>
    </w:p>
    <w:p>
      <w:pPr>
        <w:pStyle w:val="BodyText"/>
      </w:pPr>
      <w:r>
        <w:t>•  Build note: the @nestjs/swagger CLI plugin runs only through nest build / nest start, not a bare tsc invocation, so the backend is now built with npm run build. In this environment tsconfig.tsbuildinfo must be deleted first or the incremental compiler skips re-emitting.</w:t>
      </w:r>
    </w:p>
    <w:p>
      <w:pPr>
        <w:pStyle w:val="BodyText"/>
      </w:pPr>
      <w:r>
        <w:t>Verified end to end: after npm run build and a restart, GET /api/v1/docs returns the Swagger UI (HTTP 200) and GET /api/v1/docs-json returns a valid OpenAPI 3 document (200); POST /api/v1/identity/auth/login was executed from the UI without a token, and the staff access token it returned authorised a follow-up call to a guarded endpoint.</w:t>
      </w:r>
    </w:p>
    <w:p>
      <w:pPr>
        <w:pStyle w:val="Heading2"/>
      </w:pPr>
      <w:r>
        <w:t>Impact on this document</w:t>
      </w:r>
    </w:p>
    <w:p>
      <w:pPr>
        <w:pStyle w:val="BodyText"/>
      </w:pPr>
      <w:r>
        <w:t>Admin — the backend now exposes /api/v1/docs (Swagger UI) and /api/v1/docs-json on the API port; record these in the endpoint inventory and decide whether to expose them beyond internal / staging environments.</w:t>
      </w:r>
    </w:p>
    <w:p>
      <w:pPr>
        <w:pStyle w:val="Heading1"/>
      </w:pPr>
      <w:r>
        <w:t>64. Implementation Status Update 50 (29 August 2026) — Corporate Landing Page &amp; Public Holding-Company Mini-Site</w:t>
      </w:r>
    </w:p>
    <w:p>
      <w:pPr>
        <w:pStyle w:val="BodyText"/>
      </w:pPr>
      <w:r>
        <w:t>The Customer Storefront’s pre-login landing page has been redesigned as the public, holding-company face of Morise Holdings, following the reference mockups in screenshots/files(13)/. It is no longer a single marketing page but a small public site rendered before any sign-in.</w:t>
      </w:r>
    </w:p>
    <w:p>
      <w:pPr>
        <w:pStyle w:val="BodyText"/>
      </w:pPr>
      <w:r>
        <w:t>What was delivered:</w:t>
      </w:r>
    </w:p>
    <w:p>
      <w:pPr>
        <w:pStyle w:val="BodyText"/>
      </w:pPr>
      <w:r>
        <w:t>•  A "paper &amp; bronze" visual system (Fraunces display + Inter text + IBM Plex Mono figures) in a new storefront stylesheet (styles/corporate.css), with a shared utility bar / main navigation / footer and the demonstration disclaimer (components/CorporateLayout.jsx).</w:t>
      </w:r>
    </w:p>
    <w:p>
      <w:pPr>
        <w:pStyle w:val="BodyText"/>
      </w:pPr>
      <w:r>
        <w:t>•  Seven public routes, none behind authentication: the landing page (/), Companies directory (/companies), a per-company page (/companies/:id), Profile (/profile), Group Leadership (/governance/board), Group Overview (/investors/overview), News (/investors/news) and Contacts (/contacts).</w:t>
      </w:r>
    </w:p>
    <w:p>
      <w:pPr>
        <w:pStyle w:val="BodyText"/>
      </w:pPr>
      <w:r>
        <w:t>•  One new backend endpoint — GET /api/v1/customer-portal/public/overview — PUBLIC (no customer token), returning only already-public facts: the holding company, its active subsidiaries with branches and ownership, and roll-up group figures (subsidiaries, branches, catalogue items, categories). It honours Accept-Language like the rest of the storefront. No database or schema change; it reuses the existing group-catalogue resolution, generalised to take no customer.</w:t>
      </w:r>
    </w:p>
    <w:p>
      <w:pPr>
        <w:pStyle w:val="BodyText"/>
      </w:pPr>
      <w:r>
        <w:t>•  The Companies grid, per-company pages and Group Overview table are populated live from that endpoint (four wholly-owned subsidiaries, 14 branches, 24 catalogue items at the time of writing); sector labels and one-line descriptions are presentation-only, keyed by subsidiary name with a generic fallback. Group leadership and news items are clearly labelled illustrative demo data.</w:t>
      </w:r>
    </w:p>
    <w:p>
      <w:pPr>
        <w:pStyle w:val="BodyText"/>
      </w:pPr>
      <w:r>
        <w:t>•  A signed-in customer is unaffected: "/" still shows their dashboard; the storefront, catalogue and account screens are unchanged.</w:t>
      </w:r>
    </w:p>
    <w:p>
      <w:pPr>
        <w:pStyle w:val="BodyText"/>
      </w:pPr>
      <w:r>
        <w:t>Verified end to end: signed out, "/" renders the holding-company landing with live group figures; every public route loads without a token; GET /customer-portal/public/overview returns HTTP 200 with the group shape; the storefront production build passes; signing in still lands on the customer dashboard.</w:t>
      </w:r>
    </w:p>
    <w:p>
      <w:pPr>
        <w:pStyle w:val="Heading2"/>
      </w:pPr>
      <w:r>
        <w:t>Impact on this document</w:t>
      </w:r>
    </w:p>
    <w:p>
      <w:pPr>
        <w:pStyle w:val="BodyText"/>
      </w:pPr>
      <w:r>
        <w:t>Admin — note the new public endpoint GET /api/v1/customer-portal/public/overview in the endpoint inventory (no authentication; returns holding + subsidiary summary + counts) and decide whether to expose it outside internal / staging environments.</w:t>
      </w:r>
    </w:p>
    <w:p>
      <w:pPr>
        <w:pStyle w:val="Heading1"/>
      </w:pPr>
      <w:r>
        <w:t>65. Implementation Status Update 51 (29 August 2026) — Corporate Landing Page Restyled to the Storefront Design System</w:t>
      </w:r>
    </w:p>
    <w:p>
      <w:pPr>
        <w:pStyle w:val="BodyText"/>
      </w:pPr>
      <w:r>
        <w:t>The public corporate mini-site added in Update 50 (landing page, Companies directory + per-company pages, Profile, Group Leadership, Group Overview, News, Contacts) has been restyled so it looks like the rest of the Customer Storefront. This is a presentation-only change.</w:t>
      </w:r>
    </w:p>
    <w:p>
      <w:pPr>
        <w:pStyle w:val="BodyText"/>
      </w:pPr>
      <w:r>
        <w:t>What changed:</w:t>
      </w:r>
    </w:p>
    <w:p>
      <w:pPr>
        <w:pStyle w:val="BodyText"/>
      </w:pPr>
      <w:r>
        <w:t>•  The corporate pages now use the SAME visual system as the shop page (mbms/storefront/src/styles/storefront.css): the system-font stack (-apple-system / Segoe UI / Roboto …), the navy (#1E3A5F) / blue (#2E5395) / amber (#D97706) palette, the #F2F5FA page background, white cards with a 10px radius and a hairline #E2E8F0 border, and the .sf-btn-style buttons and font sizes (24px page-head H1, ~20px section headings, 14px body).</w:t>
      </w:r>
    </w:p>
    <w:p>
      <w:pPr>
        <w:pStyle w:val="BodyText"/>
      </w:pPr>
      <w:r>
        <w:t>•  The earlier “paper &amp; bronze” treatment — the imported Fraunces / IBM Plex Mono web fonts, the cream #F2F0EA background and the serif headings from screenshots/files(13)/ — has been dropped. The web-font @import is removed, so the corporate pages now load no external fonts.</w:t>
      </w:r>
    </w:p>
    <w:p>
      <w:pPr>
        <w:pStyle w:val="BodyText"/>
      </w:pPr>
      <w:r>
        <w:t>•  Only mbms/storefront/src/styles/corporate.css changed. The page structure, routes, component files and the GET /api/v1/customer-portal/public/overview endpoint from Update 50 are untouched; the mc-* class names are unchanged. No backend, API, schema or data change.</w:t>
      </w:r>
    </w:p>
    <w:p>
      <w:pPr>
        <w:pStyle w:val="BodyText"/>
      </w:pPr>
      <w:r>
        <w:t>Verified: the storefront production build passes; signed out, the landing page and the six inner corporate pages render in the storefront’s navy / white / amber styling and sit visually alongside /shop; a signed-in customer still lands on the dashboard.</w:t>
      </w:r>
    </w:p>
    <w:p>
      <w:pPr>
        <w:pStyle w:val="Heading2"/>
      </w:pPr>
      <w:r>
        <w:t>Impact on this document</w:t>
      </w:r>
    </w:p>
    <w:p>
      <w:pPr>
        <w:pStyle w:val="BodyText"/>
      </w:pPr>
      <w:r>
        <w:t>Admin — no material impact — this update only changes the CSS of the public corporate pages (fonts, colours, radii) to match the storefront. No requirement, interface, data, process or plan item changes.</w:t>
      </w:r>
    </w:p>
    <w:p>
      <w:pPr>
        <w:pStyle w:val="Heading1"/>
      </w:pPr>
      <w:r>
        <w:t>66. Implementation Status Update 52 (29 August 2026) — Public Content Pages Folded Into the Corporate Site Chrome</w:t>
      </w:r>
    </w:p>
    <w:p>
      <w:pPr>
        <w:pStyle w:val="BodyText"/>
      </w:pPr>
      <w:r>
        <w:t>The public CMS content pages at /page/:slug (About, Terms, Delivery — linked from the corporate site’s utility bar and footer) now render inside the same shell and styling as the rest of the pre-login corporate mini-site (landing, Companies, Group Overview, News, Contacts). Presentation-only.</w:t>
      </w:r>
    </w:p>
    <w:p>
      <w:pPr>
        <w:pStyle w:val="BodyText"/>
      </w:pPr>
      <w:r>
        <w:t>What changed:</w:t>
      </w:r>
    </w:p>
    <w:p>
      <w:pPr>
        <w:pStyle w:val="BodyText"/>
      </w:pPr>
      <w:r>
        <w:t>•  ContentPage (mbms/storefront/src/pages/Page.jsx) now wraps its body in &lt;CorporateLayout&gt; — the shared utility bar, main navigation, footer and demonstration disclaimer — and uses the mc-* classes and the storefront design system (system fonts; navy / white / amber). It previously used a stripped-down header of its own and the earlier landing-page styling.</w:t>
      </w:r>
    </w:p>
    <w:p>
      <w:pPr>
        <w:pStyle w:val="BodyText"/>
      </w:pPr>
      <w:r>
        <w:t>•  One small block of card / article styles was added to mbms/storefront/src/styles/corporate.css (.mc-article). No other file changed.</w:t>
      </w:r>
    </w:p>
    <w:p>
      <w:pPr>
        <w:pStyle w:val="BodyText"/>
      </w:pPr>
      <w:r>
        <w:t>•  No change to the content itself, to the CMS admin screen, or to the endpoint that serves it (GET /api/v1/customer-portal/content/:slug — still public, unchanged). No backend, API, schema or data change.</w:t>
      </w:r>
    </w:p>
    <w:p>
      <w:pPr>
        <w:pStyle w:val="BodyText"/>
      </w:pPr>
      <w:r>
        <w:t>Verified: /page/about and /page/terms render with the corporate utility bar / nav / footer and the storefront’s navy / white / amber styling, matching /, /companies, /investors/overview, /investors/news and /contacts; the storefront production build passes; a signed-in customer still lands on the dashboard.</w:t>
      </w:r>
    </w:p>
    <w:p>
      <w:pPr>
        <w:pStyle w:val="Heading2"/>
      </w:pPr>
      <w:r>
        <w:t>Impact on this document</w:t>
      </w:r>
    </w:p>
    <w:p>
      <w:pPr>
        <w:pStyle w:val="BodyText"/>
      </w:pPr>
      <w:r>
        <w:t>Admin — no material impact — this update only changes which shell and CSS the public /page/:slug content pages use, so they match the rest of the corporate site. No requirement, interface, data, process or plan item changes. The CMS / Site Builder admin screen is unchanged.</w:t>
      </w:r>
    </w:p>
    <w:p>
      <w:pPr>
        <w:pStyle w:val="Heading1"/>
      </w:pPr>
      <w:r>
        <w:t>67. Implementation Status Update 53 (29 August 2026) — Social Media Channels — Managed in Admin, Shown in the Storefront</w:t>
      </w:r>
    </w:p>
    <w:p>
      <w:pPr>
        <w:pStyle w:val="BodyText"/>
      </w:pPr>
      <w:r>
        <w:t>An administrator can now add the group’s social media channels in Admin » CMS / Site Builder, and they appear in the storefront footer — both the pre-login corporate pages and the signed-in customer pages.</w:t>
      </w:r>
    </w:p>
    <w:p>
      <w:pPr>
        <w:pStyle w:val="BodyText"/>
      </w:pPr>
      <w:r>
        <w:t>What was delivered:</w:t>
      </w:r>
    </w:p>
    <w:p>
      <w:pPr>
        <w:pStyle w:val="BodyText"/>
      </w:pPr>
      <w:r>
        <w:t>•  New table social_links (migration 20260829180000_social_media_links) — platform (enum: facebook, x, instagram, linkedin, youtube, tiktok, whatsapp, telegram, other), optional label, url, sort_order, is_visible, created_by, timestamps. Site-wide, not per-company — the same scope model as content pages.</w:t>
      </w:r>
    </w:p>
    <w:p>
      <w:pPr>
        <w:pStyle w:val="BodyText"/>
      </w:pPr>
      <w:r>
        <w:t>•  Admin API under /api/v1/cms: GET /cms/social-links (needs cms.viewAll or cms.manage), POST /cms/social-links, PATCH /cms/social-links/{id}, DELETE /cms/social-links/{id} (all writes need cms.manage). New service SocialLinksService in the CMS module; every write is audited (cms.social_link.created / updated / deleted, entity_type social_link). No new permission — it reuses cms.manage / cms.viewAll.</w:t>
      </w:r>
    </w:p>
    <w:p>
      <w:pPr>
        <w:pStyle w:val="BodyText"/>
      </w:pPr>
      <w:r>
        <w:t>•  Public API: GET /api/v1/customer-portal/public/social-links — PUBLIC, no token — returns the visible channels in the admin-set order ({ platform, label, url }); honours Accept-Language for the label.</w:t>
      </w:r>
    </w:p>
    <w:p>
      <w:pPr>
        <w:pStyle w:val="BodyText"/>
      </w:pPr>
      <w:r>
        <w:t>•  Admin UI: a “Social media channels” panel on the CMS / Site Builder screen — list with visible/hidden toggle, re-order, remove, and an add row (platform, URL, label). Storefront: the footer of CorporateLayout (corporate pages) and of the signed-in Layout renders a “Follow us” row of channel links; an empty list renders nothing.</w:t>
      </w:r>
    </w:p>
    <w:p>
      <w:pPr>
        <w:pStyle w:val="BodyText"/>
      </w:pPr>
      <w:r>
        <w:t>•  Seed: Facebook, X, LinkedIn and Instagram seeded as visible, a WhatsApp channel seeded hidden, all owned by the Managing Director (fixed ids, idempotent).</w:t>
      </w:r>
    </w:p>
    <w:p>
      <w:pPr>
        <w:pStyle w:val="BodyText"/>
      </w:pPr>
      <w:r>
        <w:t>Verified end to end: signed in as the Managing Director, added and toggled a channel via /cms/social-links; GET /customer-portal/public/social-links immediately reflected the visible set (a hidden channel is excluded, appears the moment it is shown); the storefront and admin production builds pass; OpenAPI now documents the three new paths.</w:t>
      </w:r>
    </w:p>
    <w:p>
      <w:pPr>
        <w:pStyle w:val="Heading2"/>
      </w:pPr>
      <w:r>
        <w:t>Impact on this document</w:t>
      </w:r>
    </w:p>
    <w:p>
      <w:pPr>
        <w:pStyle w:val="BodyText"/>
      </w:pPr>
      <w:r>
        <w:t>Admin — document the new “Social media channels” panel on the CMS / Site Builder screen: add a channel (platform, URL, optional label), re-order, toggle shown/hidden, remove; requires cms.manage to change, cms.viewAll to view. Add the four new endpoints to the endpoint inventory, including the public GET /customer-portal/public/social-links.</w:t>
      </w:r>
    </w:p>
    <w:p>
      <w:pPr>
        <w:pStyle w:val="Heading1"/>
      </w:pPr>
      <w:r>
        <w:t>68. Implementation Status Update 54 (29 August 2026) — Landing-page Newsletter Sign-up and FAQ Section</w:t>
      </w:r>
    </w:p>
    <w:p>
      <w:pPr>
        <w:pStyle w:val="BodyText"/>
      </w:pPr>
      <w:r>
        <w:t>The corporate landing page gains a Newsletter sign-up band and an FAQ section. The FAQ items are managed by an administrator in Admin » CMS / Site Builder; newsletter sign-ups are captured from the landing page and listed for administrators there too.</w:t>
      </w:r>
    </w:p>
    <w:p>
      <w:pPr>
        <w:pStyle w:val="BodyText"/>
      </w:pPr>
      <w:r>
        <w:t>What was delivered:</w:t>
      </w:r>
    </w:p>
    <w:p>
      <w:pPr>
        <w:pStyle w:val="BodyText"/>
      </w:pPr>
      <w:r>
        <w:t>•  Two new tables (migration 20260829200000_landing_faq_newsletter). faq_items — question VARCHAR(300), answer TEXT, sort_order, is_visible, created_by, timestamps (site-wide, same scope model as content pages). newsletter_subscribers — email VARCHAR(255) UNIQUE, status (enum NewsletterStatus: subscribed / unsubscribed), source VARCHAR(80), timestamps.</w:t>
      </w:r>
    </w:p>
    <w:p>
      <w:pPr>
        <w:pStyle w:val="BodyText"/>
      </w:pPr>
      <w:r>
        <w:t>•  Admin API on /api/v1/cms (JWT + cms permissions): GET/POST/PATCH/DELETE /cms/faqs (writes need cms.manage; reads cms.viewAll or cms.manage); GET /cms/newsletter-subscribers (read, with total / subscribed / unsubscribed counts) and DELETE /cms/newsletter-subscribers/{id} (cms.manage). No new permission — reuses cms.manage / cms.viewAll. FAQ writes are audited (cms.faq_item.created / updated / deleted); a subscriber delete is audited (cms.newsletter_subscriber.deleted).</w:t>
      </w:r>
    </w:p>
    <w:p>
      <w:pPr>
        <w:pStyle w:val="BodyText"/>
      </w:pPr>
      <w:r>
        <w:t>•  Public API (no token): GET /api/v1/customer-portal/public/faqs — visible items in the admin order, { id, question, answer }, Accept-Language applied. POST /api/v1/customer-portal/public/newsletter { email, source? } — rate-limited (10 / minute / IP, SEC-05 style), idempotent, and non-enumerating (always returns { subscribed: true }; a repeat sign-up or a previously-unsubscribed address is silently re-subscribed).</w:t>
      </w:r>
    </w:p>
    <w:p>
      <w:pPr>
        <w:pStyle w:val="BodyText"/>
      </w:pPr>
      <w:r>
        <w:t>•  Admin UI: a “Landing-page FAQ” panel (inline-edit question / answer, show-hide, re-order, add, remove) and a read-only “Newsletter sign-ups” panel (counts + list + remove) on the CMS / Site Builder screen. Storefront: a NewsletterSection band and an expand/collapse FaqSection on the landing page; the FAQ section is omitted when there are no visible items.</w:t>
      </w:r>
    </w:p>
    <w:p>
      <w:pPr>
        <w:pStyle w:val="BodyText"/>
      </w:pPr>
      <w:r>
        <w:t>•  Seed: five demo FAQ items (four visible, one hidden), owned by the Managing Director (fixed ids, idempotent). No newsletter subscribers seeded.</w:t>
      </w:r>
    </w:p>
    <w:p>
      <w:pPr>
        <w:pStyle w:val="BodyText"/>
      </w:pPr>
      <w:r>
        <w:t>Verified end to end: as the Managing Director, listed and edited FAQ items via /cms/faqs; GET /customer-portal/public/faqs returned only the visible four; POST /customer-portal/public/newsletter accepted a new address (201) and a repeat (still 201), rejected a malformed address (400), and the sign-up appeared in GET /cms/newsletter-subscribers; the storefront and admin production builds pass; OpenAPI now documents the six new paths.</w:t>
      </w:r>
    </w:p>
    <w:p>
      <w:pPr>
        <w:pStyle w:val="Heading2"/>
      </w:pPr>
      <w:r>
        <w:t>Impact on this document</w:t>
      </w:r>
    </w:p>
    <w:p>
      <w:pPr>
        <w:pStyle w:val="BodyText"/>
      </w:pPr>
      <w:r>
        <w:t>Admin — document the two new panels on the CMS / Site Builder screen: “Landing-page FAQ” (add / edit / order / show-hide / remove Q&amp;A; cms.manage) and “Newsletter sign-ups” (view the list and counts with cms.viewAll, remove an entry with cms.manage). Add the six new endpoints to the inventory, including the public GET /customer-portal/public/faqs and rate-limited POST /customer-portal/public/newsletter.</w:t>
      </w:r>
    </w:p>
    <w:p>
      <w:pPr>
        <w:pStyle w:val="Heading1"/>
      </w:pPr>
      <w:r>
        <w:t>69. Implementation Status Update 55 (30 August 2026) — Content Localisation Completed — Orders &amp; Payments (Read in Chosen Language, Store Input in English)</w:t>
      </w:r>
    </w:p>
    <w:p>
      <w:pPr>
        <w:pStyle w:val="BodyText"/>
      </w:pPr>
      <w:r>
        <w:t>The "read database text in the customer’s language, store the customer’s input in English" behaviour (Updates 32, 33, 39, 48) is now also applied to the two customer-facing areas it had not yet reached — order history and payments — closing the gap so the rule holds across the whole storefront.</w:t>
      </w:r>
    </w:p>
    <w:p>
      <w:pPr>
        <w:pStyle w:val="BodyText"/>
      </w:pPr>
      <w:r>
        <w:t>READ — shown in the chosen language (Accept-Language):</w:t>
      </w:r>
    </w:p>
    <w:p>
      <w:pPr>
        <w:pStyle w:val="BodyText"/>
      </w:pPr>
      <w:r>
        <w:t>•  GET /customer-portal/orders and /orders/{id} now return each line item’s product name, the selling subsidiary name, and the cancellation reason in the customer’s language, as far as the content glossary reaches; digits follow the language’s script. When the customer cancelled the order in the language they are now browsing in, their exact original wording is shown back instead of the translated English. The order-placement confirmation is localised the same way.</w:t>
      </w:r>
    </w:p>
    <w:p>
      <w:pPr>
        <w:pStyle w:val="BodyText"/>
      </w:pPr>
      <w:r>
        <w:t>WRITE — stored in English + 0-9 only:</w:t>
      </w:r>
    </w:p>
    <w:p>
      <w:pPr>
        <w:pStyle w:val="BodyText"/>
      </w:pPr>
      <w:r>
        <w:t>•  An order cancellation reason a customer types is normalised to English before it is stored (glossary + digit-normalise). The row keeps the customer’s exact original and its source language — new columns orders.cancellation_reason_original and orders.cancellation_source_language (migration 20260829210000_order_cancellation_reason_localisation) — the same shape delivery addresses, support tickets and the customer record already use. Staff who cancel an order type English; no original is kept.</w:t>
      </w:r>
    </w:p>
    <w:p>
      <w:pPr>
        <w:pStyle w:val="BodyText"/>
      </w:pPr>
      <w:r>
        <w:t>•  A payment reference (a bank / mobile-money transaction id) has its digits normalised to 0-9 on write, so a reference a customer typed in another numeral script is stored in the form a bank statement uses. It is an identifier, not prose — nothing else about it changes.</w:t>
      </w:r>
    </w:p>
    <w:p>
      <w:pPr>
        <w:pStyle w:val="BodyText"/>
      </w:pPr>
      <w:r>
        <w:t>No new endpoint and no new permission; the existing order routes now honour Accept-Language and the cancel route normalises its input. Staff always read and write English.</w:t>
      </w:r>
    </w:p>
    <w:p>
      <w:pPr>
        <w:pStyle w:val="BodyText"/>
      </w:pPr>
      <w:r>
        <w:t>Verified end to end: browsing in Swahili, order ORD-2026-0011’s line "Bean Seed — 10kg Bag" reads "Maharage Mbegu — 10kg Mfuko"; cancelling an order in Swahili with reason "Ghala" stores cancellation_reason = "Warehouse" with cancellation_reason_original = "Ghala" and cancellation_source_language = "sw" — an English (admin) read shows "Warehouse", the Swahili customer sees "Ghala"; a payment reference "MP٢٤٠٨٢٩.٠٠١" is stored as "MP240829.001". The backend build is clean.</w:t>
      </w:r>
    </w:p>
    <w:p>
      <w:pPr>
        <w:pStyle w:val="Heading2"/>
      </w:pPr>
      <w:r>
        <w:t>Impact on this document</w:t>
      </w:r>
    </w:p>
    <w:p>
      <w:pPr>
        <w:pStyle w:val="BodyText"/>
      </w:pPr>
      <w:r>
        <w:t>Admin — every order line, subsidiary name, order cancellation reason and payment reference is stored in English with 0-9 digits; where a customer cancelled in another language, orders.cancellation_reason_original holds their exact words (surface it with a “show original” toggle, as on Support tickets).</w:t>
      </w:r>
    </w:p>
    <w:p>
      <w:pPr>
        <w:pStyle w:val="Heading1"/>
      </w:pPr>
      <w:r>
        <w:t>70. Implementation Status Update 56 (30 August 2026) — Content Localisation — Final Edges (Dashboard, Account Statement &amp; Exported PDFs, Discount-Code Input)</w:t>
      </w:r>
    </w:p>
    <w:p>
      <w:pPr>
        <w:pStyle w:val="BodyText"/>
      </w:pPr>
      <w:r>
        <w:t>A sweep of every remaining customer-facing read and write path found three edges the "read in the customer’s language / store the customer’s input in English" rule had not yet reached; all three are now closed, so the rule holds everywhere a customer sees text or types it.</w:t>
      </w:r>
    </w:p>
    <w:p>
      <w:pPr>
        <w:pStyle w:val="BodyText"/>
      </w:pPr>
      <w:r>
        <w:t>READ — now shown in the chosen language (Accept-Language):</w:t>
      </w:r>
    </w:p>
    <w:p>
      <w:pPr>
        <w:pStyle w:val="BodyText"/>
      </w:pPr>
      <w:r>
        <w:t>•  GET /customer-portal/dashboard-summary — the Home screen’s "Recent Orders" widget: line-item product names and the selling subsidiary name (it passes the language through to the order projection).</w:t>
      </w:r>
    </w:p>
    <w:p>
      <w:pPr>
        <w:pStyle w:val="BodyText"/>
      </w:pPr>
      <w:r>
        <w:t>•  GET /customer-portal/invoices/statement — each transaction row now carries a typeLabel ("invoice" / "payment") in the customer’s language alongside the machine type.</w:t>
      </w:r>
    </w:p>
    <w:p>
      <w:pPr>
        <w:pStyle w:val="BodyText"/>
      </w:pPr>
      <w:r>
        <w:t>•  GET /customer-portal/invoices/statement/pdf and /invoices/{id}/pdf — the exported Account Statement and Invoice PDFs are labelled in the customer’s language (title, "Balance", the column headers, the row type and the invoice status), with digits transliterated. The storefront now sends Accept-Language on the download too. Known limit: PDFKit’s built-in font renders Latin scripts and 0-9 only, so a non-Latin script (Arabic, CJK, …) still shows those label words in English — font embedding is the follow-up, the same class of seam as free-prose translation.</w:t>
      </w:r>
    </w:p>
    <w:p>
      <w:pPr>
        <w:pStyle w:val="BodyText"/>
      </w:pPr>
      <w:r>
        <w:t>WRITE — matched / stored in English + 0-9:</w:t>
      </w:r>
    </w:p>
    <w:p>
      <w:pPr>
        <w:pStyle w:val="BodyText"/>
      </w:pPr>
      <w:r>
        <w:t>•  A discount code a customer types at checkout or in the validate call is normalised to 0-9 before the look-up (a code entered as "WELCOME١٠" now matches "WELCOME10"), then upper-cased — on both POST /customer-portal/orders and POST /customer-portal/discount-codes/validate.</w:t>
      </w:r>
    </w:p>
    <w:p>
      <w:pPr>
        <w:pStyle w:val="BodyText"/>
      </w:pPr>
      <w:r>
        <w:t>Glossary: added the account-statement / invoice-PDF label vocabulary ("Account Statement", "Balance", "Date", "Type", "Reference", "Amount", "Running Balance", "Order", "Status", "Invoice Number", "Due Date", "Paid At", the row types "invoice"/"payment", and the invoice statuses paid / overdue / due_soon / upcoming) for the eight fully-translated languages.</w:t>
      </w:r>
    </w:p>
    <w:p>
      <w:pPr>
        <w:pStyle w:val="BodyText"/>
      </w:pPr>
      <w:r>
        <w:t>No new endpoint, no new permission, no schema change. Staff always read and write English.</w:t>
      </w:r>
    </w:p>
    <w:p>
      <w:pPr>
        <w:pStyle w:val="BodyText"/>
      </w:pPr>
      <w:r>
        <w:t>Verified end to end: browsing in Swahili, the dashboard’s recent orders read "Maharage Mbegu — 10kg Mfuko"; the statement rows read "ankara" / "malipo"; the statement PDF header reads "Taarifa ya Akaunti … Tarehe / Aina / Kumbukumbu / Kiasi / Salio Linaloendelea" (and "Relevé de compte …" in French); a discount code "WELCOME١٠" is matched as "WELCOME10". Backend build clean; OpenAPI regenerated.</w:t>
      </w:r>
    </w:p>
    <w:p>
      <w:pPr>
        <w:pStyle w:val="Heading2"/>
      </w:pPr>
      <w:r>
        <w:t>Impact on this document</w:t>
      </w:r>
    </w:p>
    <w:p>
      <w:pPr>
        <w:pStyle w:val="BodyText"/>
      </w:pPr>
      <w:r>
        <w:t>Admin — every stored discount-code match, statement value and PDF field is English / 0-9; the customer-facing language rendering happens only on the way out. No admin screen change.</w:t>
      </w:r>
    </w:p>
    <w:p>
      <w:pPr>
        <w:pStyle w:val="Heading1"/>
      </w:pPr>
      <w:r>
        <w:t>71. Implementation Status Update 57 (30 August 2026) — Collateral Management Subsidiary + Multi-Site Collateral Management System Specification (New Doc 21)</w:t>
      </w:r>
    </w:p>
    <w:p>
      <w:pPr>
        <w:pStyle w:val="BodyText"/>
      </w:pPr>
      <w:r>
        <w:t>Using the same subsidiary-lifecycle capability, the Managing Director has set up a third specification-stage subsidiary — Morise Collateral Management Ltd — a wholly-owned collateral management agent (CMA) that monitors physical goods pledged as collateral (commodities, inventory, stored assets) for banks and financiers across many client sites (warehouses, silos, tank farms, yards, cold stores).</w:t>
      </w:r>
    </w:p>
    <w:p>
      <w:pPr>
        <w:pStyle w:val="BodyText"/>
      </w:pPr>
      <w:r>
        <w:t>Delivered — seed data only, no code / schema / permission change:</w:t>
      </w:r>
    </w:p>
    <w:p>
      <w:pPr>
        <w:pStyle w:val="BodyText"/>
      </w:pPr>
      <w:r>
        <w:t>•  Org structure seeded in seed.ts and fully manageable by the Managing Director (view / create / update / delete / activate): the company (a1000000-…-000000000006, wholly-owned, UGX, FY 1 January, registered office Nakasero, Kampala); 6 sites / branches (Kampala Head Office, Jinja Grain Silos, Mbale Warehouse, Masindi Grain Store, Kasese Cold Store, Buikwe Tank Farm); 9 departments (Field Inspection; Site &amp; Warehouse Management; Stock &amp; Collateral Control; Inspection &amp; Audit; Release &amp; Movement Authorization; Client &amp; Lender Relations; Compliance &amp; Risk; Workforce &amp; Rostering; IT &amp; Integrations); and 6 starter policies (GPS &amp; Evidence Integrity; Dual-Control Release Approval; Coverage Threshold Auto-Hold; Offline Field Sync; Multi-Client Stock Segregation; Inspection Frequency by Risk).</w:t>
      </w:r>
    </w:p>
    <w:p>
      <w:pPr>
        <w:pStyle w:val="BodyText"/>
      </w:pPr>
      <w:r>
        <w:t>•  A new numbered document — 21_Multi-Site Collateral Management System — Feature Specification — restates the client-supplied specification (retained in docx/ as Multi-Site-Collateral-Management-System-Feature-Specification.docx) in the house format of docs 19 and 20: ten feature modules (Site &amp; Warehouse Management; Field Inspector Operations / mobile app; Staff &amp; Workforce Management; Stock &amp; Collateral Management; Inspection &amp; Audit Workflow; Release &amp; Movement Authorization; Client / Lender Portal; Alerts &amp; Notifications; Reporting &amp; Compliance; Document Management), plus non-functional requirements, an architecture overview, the integration-points and phased-roadmap tables, user roles, the suggested technology stack, the organisation-as-built section, the relationship to the existing MBMS platform, and approval.</w:t>
      </w:r>
    </w:p>
    <w:p>
      <w:pPr>
        <w:pStyle w:val="BodyText"/>
      </w:pPr>
      <w:r>
        <w:t>•  None of the CMS modules are implemented. The subsidiary appears in the group directory / Group Overview (five subsidiaries now, 20 sites / branches) with no priced catalogue — it is a monitoring and inspection service, not a shop. A storefront presentation entry (sector + blurb) was added for its corporate-site card.</w:t>
      </w:r>
    </w:p>
    <w:p>
      <w:pPr>
        <w:pStyle w:val="BodyText"/>
      </w:pPr>
      <w:r>
        <w:t>Verified: after re-seed, GET /customer-portal/public/overview lists Morise Collateral Management Ltd with 6 branches and 0 products; the database holds the company, 6 branches, 9 departments and 6 policies under it; no migration ran (schema unchanged).</w:t>
      </w:r>
    </w:p>
    <w:p>
      <w:pPr>
        <w:pStyle w:val="Heading2"/>
      </w:pPr>
      <w:r>
        <w:t>Impact on this document</w:t>
      </w:r>
    </w:p>
    <w:p>
      <w:pPr>
        <w:pStyle w:val="BodyText"/>
      </w:pPr>
      <w:r>
        <w:t>Admin — Morise Collateral Management Ltd is a new manageable subsidiary: 6 sites / branches, 9 departments, 6 starter policies, all under the Managing Director's subsidiary-lifecycle controls. Its Multi-Site Collateral Management System (doc 21) is a future-phase backlog, not an admin screen yet.</w:t>
      </w:r>
    </w:p>
    <w:p>
      <w:pPr>
        <w:pStyle w:val="Heading1"/>
      </w:pPr>
      <w:r>
        <w:t>72. Implementation Status Update 58 (30 August 2026) — Full-page Demonstration-Disclaimer Gate (10-second Hold) + Admin-Managed Disclaimer Statements</w:t>
      </w:r>
    </w:p>
    <w:p>
      <w:pPr>
        <w:pStyle w:val="BodyText"/>
      </w:pPr>
      <w:r>
        <w:t>The demonstration disclaimer that used to appear as a dismissible modal over the corporate landing page is now a full-page gate a signed-out visitor must pass through first: the disclaimer is shown for a hold period (10 seconds by default, set server-side) with a live countdown on the button, then an "I Understand, Continue" button becomes active and the landing page appears. The acknowledgement is remembered per browser, so a return visitor goes straight to the landing page.</w:t>
      </w:r>
    </w:p>
    <w:p>
      <w:pPr>
        <w:pStyle w:val="BodyText"/>
      </w:pPr>
      <w:r>
        <w:t>The disclaimer text is now managed by admin staff, not hard-coded:</w:t>
      </w:r>
    </w:p>
    <w:p>
      <w:pPr>
        <w:pStyle w:val="BodyText"/>
      </w:pPr>
      <w:r>
        <w:t>•  New table disclaimer_items (migration 20260830130000_site_disclaimer) — body (text), sort_order, is_visible, created_by, timestamps. Site-wide, the same scope model as faq_items / social_links.</w:t>
      </w:r>
    </w:p>
    <w:p>
      <w:pPr>
        <w:pStyle w:val="BodyText"/>
      </w:pPr>
      <w:r>
        <w:t>•  Admin API on /api/v1/cms (JWT + cms permissions): GET / POST / PATCH / DELETE /cms/disclaimer-items — writes need cms.manage, reads cms.viewAll or cms.manage. No new permission. Every write is audited (cms.disclaimer_item.created / updated / deleted).</w:t>
      </w:r>
    </w:p>
    <w:p>
      <w:pPr>
        <w:pStyle w:val="BodyText"/>
      </w:pPr>
      <w:r>
        <w:t>•  Public API (no token): GET /api/v1/customer-portal/public/disclaimer → { holdSeconds, items: [{ id, body }] } — visible statements in the admin-set order, Accept-Language applied to the text, and the hold period the gate counts down.</w:t>
      </w:r>
    </w:p>
    <w:p>
      <w:pPr>
        <w:pStyle w:val="BodyText"/>
      </w:pPr>
      <w:r>
        <w:t>•  Admin UI: a "Site disclaimer" panel on the CMS / Site Builder screen (inline-edit statement, show / hide, re-order, add, remove). Storefront: a new full-page DisclaimerGate component gates "/" for a signed-out, un-acknowledged visitor; the deep-link corporate marketing routes redirect back through it. The old CorporateLayout modal remains only as a "Read disclaimer" re-opener, now fed by the same admin statements.</w:t>
      </w:r>
    </w:p>
    <w:p>
      <w:pPr>
        <w:pStyle w:val="BodyText"/>
      </w:pPr>
      <w:r>
        <w:t>•  Seed: five demonstration statements (proof-of-concept build; demo data; simulated payments; do not enter real information; access is issued by Morise Holdings), owned by the Managing Director (fixed ids, idempotent).</w:t>
      </w:r>
    </w:p>
    <w:p>
      <w:pPr>
        <w:pStyle w:val="BodyText"/>
      </w:pPr>
      <w:r>
        <w:t>Verified end to end: signed out, "/" shows the disclaimer gate with the five seeded statements and a disabled button counting down from 10; after the countdown the button activates and continuing shows the landing page; a reload goes straight to the landing page. As the Managing Director, adding a statement via /cms/disclaimer-items made it appear immediately in GET /customer-portal/public/disclaimer. Storefront and admin production builds pass; OpenAPI documents the three new paths.</w:t>
      </w:r>
    </w:p>
    <w:p>
      <w:pPr>
        <w:pStyle w:val="Heading2"/>
      </w:pPr>
      <w:r>
        <w:t>Impact on this document</w:t>
      </w:r>
    </w:p>
    <w:p>
      <w:pPr>
        <w:pStyle w:val="BodyText"/>
      </w:pPr>
      <w:r>
        <w:t>Admin — document the new “Site disclaimer” panel on the CMS / Site Builder screen: add / edit / re-order / show-hide / remove the statements shown on the full-page disclaimer gate (cms.manage to change, cms.viewAll to view). Add the new endpoints to the inventory, including the public GET /customer-portal/public/disclaimer.</w:t>
      </w:r>
    </w:p>
    <w:p>
      <w:pPr>
        <w:pStyle w:val="Heading1"/>
      </w:pPr>
      <w:r>
        <w:t>73. Implementation Status Update 59 (30 August 2026) — Disclaimer Gate &amp; Corporate Landing Pages Localised into the Chosen Language</w:t>
      </w:r>
    </w:p>
    <w:p>
      <w:pPr>
        <w:pStyle w:val="BodyText"/>
      </w:pPr>
      <w:r>
        <w:t>The pre-login corporate surface — the full-page disclaimer gate, the landing page and the rest of the corporate mini-site (Companies, Profile, Group Leadership, Group Overview, News, Contacts, footer) — now renders in the language the visitor chooses, not only in English.</w:t>
      </w:r>
    </w:p>
    <w:p>
      <w:pPr>
        <w:pStyle w:val="BodyText"/>
      </w:pPr>
      <w:r>
        <w:t>What was delivered (front-end + glossary; no schema, endpoint or permission change):</w:t>
      </w:r>
    </w:p>
    <w:p>
      <w:pPr>
        <w:pStyle w:val="BodyText"/>
      </w:pPr>
      <w:r>
        <w:t>•  The 144 corporate / disclaimer / landing UI strings (previously English-only) are translated into the eight fully-supported languages — Swahili, Luganda, French, Spanish, Portuguese, German, Italian and Arabic — in locales/eu.js and locales/regional.js, so choosing one of those changes the whole pre-login surface, headings, labels, buttons and the disclaimer-gate countdown ("Please read — continue in Ns") included.</w:t>
      </w:r>
    </w:p>
    <w:p>
      <w:pPr>
        <w:pStyle w:val="BodyText"/>
      </w:pPr>
      <w:r>
        <w:t>•  The five seeded disclaimer statements are added to the content-translation glossary (content-glossary.ts) for the same eight languages, so GET /customer-portal/public/disclaimer returns them in the chosen language (Accept-Language), the same way the seeded CMS content-page bodies already do. An admin-added statement beyond the seeded five falls through untranslated until a real machine-translation provider is wired in — the documented glossary limit.</w:t>
      </w:r>
    </w:p>
    <w:p>
      <w:pPr>
        <w:pStyle w:val="BodyText"/>
      </w:pPr>
      <w:r>
        <w:t>•  First-visit language detection: with no stored choice, the storefront now honours an explicit ?lang=&lt;code&gt; on the URL (persisted), then the browser’s own preferred languages (navigator.languages), before falling back to English — so a Swahili, French or Arabic browser lands on its own language on the gate and landing page. The language picker on the gate still overrides and remembers the visitor’s explicit choice.</w:t>
      </w:r>
    </w:p>
    <w:p>
      <w:pPr>
        <w:pStyle w:val="BodyText"/>
      </w:pPr>
      <w:r>
        <w:t>•  Right-to-left safety net for Arabic: a small [dir="rtl"] block in corporate.css fixes the physically-placed bits (the gate’s list alignment, the overview table’s right-aligned figures, the FAQ question row, the two-column detail grids); the browser mirrors the rest from document.dir.</w:t>
      </w:r>
    </w:p>
    <w:p>
      <w:pPr>
        <w:pStyle w:val="BodyText"/>
      </w:pPr>
      <w:r>
        <w:t>Verified: the disclaimer gate opened at /?lang=sw, /?lang=fr and /?lang=ar renders its heading, the five statements, the countdown button, the hint line and the "Customer sign in" link entirely in that language, with the Arabic layout mirrored right-to-left; GET /customer-portal/public/disclaimer with Accept-Language: sw / fr / ar returns the statements translated. Storefront and admin production builds pass.</w:t>
      </w:r>
    </w:p>
    <w:p>
      <w:pPr>
        <w:pStyle w:val="Heading2"/>
      </w:pPr>
      <w:r>
        <w:t>Impact on this document</w:t>
      </w:r>
    </w:p>
    <w:p>
      <w:pPr>
        <w:pStyle w:val="BodyText"/>
      </w:pPr>
      <w:r>
        <w:t>Admin — no admin change. Note that admin-added disclaimer statements beyond the seeded five are shown to customers untranslated until a machine-translation provider is configured (the same limit as CMS content-page prose).</w:t>
      </w:r>
    </w:p>
    <w:p>
      <w:pPr>
        <w:pStyle w:val="Heading1"/>
      </w:pPr>
      <w:r>
        <w:t>74. Implementation Status Update 60 (30 August 2026) — Morise Collateral Management Ltd — Priced Services Catalogue Added to the Group Storefront</w:t>
      </w:r>
    </w:p>
    <w:p>
      <w:pPr>
        <w:pStyle w:val="BodyText"/>
      </w:pPr>
      <w:r>
        <w:t>Update 57 seeded Morise Collateral Management Ltd as an org structure only, with no storefront catalogue. It now has a priced service catalogue in the group storefront, drawn from the client-supplied reference catalogue “Services Offered by Collateral Management Companies” (retained in docx/ as Collateral-Management-Company-Services-Catalog.docx).</w:t>
      </w:r>
    </w:p>
    <w:p>
      <w:pPr>
        <w:pStyle w:val="BodyText"/>
      </w:pPr>
      <w:r>
        <w:t>What was delivered (seed data only — no code, schema or permission change; the group-storefront engine already supports any number of sellers):</w:t>
      </w:r>
    </w:p>
    <w:p>
      <w:pPr>
        <w:pStyle w:val="BodyText"/>
      </w:pPr>
      <w:r>
        <w:t>•  Ten priced services (CMC-5001–CMC-5010) across five storefront categories — Custody &amp; Control, Inspection &amp; Verification, Stock &amp; Movement Control, Risk &amp; Valuation, and Reporting &amp; Compliance — seeded onto the subsidiary’s six sites: Collateral Management Agreement (CMA) setup &amp; onboarding; Field Warehousing Control; Stock Inspection Visit (quantity, quality &amp; sampling); Weighbridge &amp; Tank / Silo Gauging; Stock Reconciliation &amp; Variance Report; Dual-Control Release Authorization; Collateral Valuation &amp; Coverage-Ratio Monitoring; Daily Stock-Position Reporting &amp; Lender Portal Access; Warehouse Receipt Issuance; and Facility / Site Accreditation Assessment. UGX pricing, per-service unit of measure, category and branch attribution.</w:t>
      </w:r>
    </w:p>
    <w:p>
      <w:pPr>
        <w:pStyle w:val="BodyText"/>
      </w:pPr>
      <w:r>
        <w:t>•  The subsidiary is given the same six-account starter chart (Cash and Bank, Accounts Receivable, Accounts Payable, Retained Earnings, Service Revenue, Cost of Services) and an open FY2026-Q1 period via ensureStorefrontBooks(), so its storefront orders invoice and GL-post in its own books — exactly as Update 47 did for Clearing &amp; Forwarding and Warehouse Management.</w:t>
      </w:r>
    </w:p>
    <w:p>
      <w:pPr>
        <w:pStyle w:val="BodyText"/>
      </w:pPr>
      <w:r>
        <w:t>•  The five catalogue category names and the recurring service-name tokens (collateral, custody, control, inspection, valuation, coverage, reconciliation, release, authorization, receipt, reporting, compliance, gauging, accreditation, facility, agreement, weighbridge, silo, tank, lender, portal, …) are added to the content-translation glossary for the eight fully-supported languages, so the rows render in the customer’s chosen language as far as the glossary reaches (proper nouns and the residual prose pass through, the documented limit).</w:t>
      </w:r>
    </w:p>
    <w:p>
      <w:pPr>
        <w:pStyle w:val="BodyText"/>
      </w:pPr>
      <w:r>
        <w:t>•  docx/21 gains an addendum — “Services Catalogue Seeded into the Storefront” — restating the reference catalogue’s nine categories, the physical-vs-financial comparison table, and the ten seeded services with their sites and prices. The Multi-Site Collateral Management System itself (docx/21 Sections 2–11) stays a future-phase backlog; only the priced catalogue is live.</w:t>
      </w:r>
    </w:p>
    <w:p>
      <w:pPr>
        <w:pStyle w:val="BodyText"/>
      </w:pPr>
      <w:r>
        <w:t>Verified end to end: after re-seed, GET /customer-portal/public/overview lists Morise Collateral Management Ltd with 6 sites and 10 products (group figures now 34 products across 18 categories); GET /customer-portal/catalog/products?companyId=…006 returns the ten services, priced and branch-tagged, and localised into Swahili / French on Accept-Language. No migration ran.</w:t>
      </w:r>
    </w:p>
    <w:p>
      <w:pPr>
        <w:pStyle w:val="Heading2"/>
      </w:pPr>
      <w:r>
        <w:t>Impact on this document</w:t>
      </w:r>
    </w:p>
    <w:p>
      <w:pPr>
        <w:pStyle w:val="BodyText"/>
      </w:pPr>
      <w:r>
        <w:t>Admin — Morise Collateral Management Ltd now has a priced catalogue (ten services), its own six-account chart and an open FY2026-Q1 period; it is a selling subsidiary in the storefront in addition to being a manageable org structure.</w:t>
      </w:r>
    </w:p>
    <w:p>
      <w:pPr>
        <w:pStyle w:val="Heading1"/>
      </w:pPr>
      <w:r>
        <w:t>75. Implementation Status Update 61 (30 August 2026) — Managing Director — Full Operational Authority Across Every Admin Category</w:t>
      </w:r>
    </w:p>
    <w:p>
      <w:pPr>
        <w:pStyle w:val="BodyText"/>
      </w:pPr>
      <w:r>
        <w:t>The Managing Director asked to be able to operate — view, create, edit, approve and execute — on every section of the four Admin categories (ADMIN / BACKEND, HUMAN RESOURCES, MY HR and FINANCIAL &amp; ACCOUNTING), not only to hold group-wide view. The role now carries the complete permission set, and the admin screens honour it.</w:t>
      </w:r>
    </w:p>
    <w:p>
      <w:pPr>
        <w:pStyle w:val="BodyText"/>
      </w:pPr>
      <w:r>
        <w:t>What changed (seed data + front-end gating; no schema, endpoint or migration):</w:t>
      </w:r>
    </w:p>
    <w:p>
      <w:pPr>
        <w:pStyle w:val="BodyText"/>
      </w:pPr>
      <w:r>
        <w:t>•  The Managing Director role in seed.ts (ROLE_PERMISSIONS['Managing Director']) is expanded from a mostly-view set to the full permission catalogue — all 53 codes, the same breadth as Super Administrator, plus identity.user.delegate as the top grantor of the delegated-administration model. It gains the manage / approve codes it previously lacked: employee.manage, employee.view.sensitive, accounting.manage, customer.manage, supplier.manage, supplier.view.sensitive, product.manage, asset.manage, recruitment.manage, attendance.manage, leave.manage, leave.approve, performance.manage, payroll.manage, sales.order.manage, support.ticket.manage, ap.manage, expense.approve.manager and expense.approve.finance. MY HR needs no permission (it is scoped by the signed-in user's employee record).</w:t>
      </w:r>
    </w:p>
    <w:p>
      <w:pPr>
        <w:pStyle w:val="BodyText"/>
      </w:pPr>
      <w:r>
        <w:t>•  Sixteen admin pages whose in-screen “manage / approve / create” controls were gated by a hard-coded role list — Accounting, Accounts Payable, Assets, Attendance, Customers, Employees, Expenses, Inter-Company, Leave, Order Management, Performance, Product Manager, Projects, Recruitment, Suppliers and Support Tickets — now also accept the matching permission code (hasRole(…) OR hasPermission('…')). This unlocks every control for the Managing Director and, more generally, for any role or user granted that permission through delegated administration; the newer screens (CMS, Departments, Inventory, Marketing, Payroll, Shift Scheduling) already worked this way.</w:t>
      </w:r>
    </w:p>
    <w:p>
      <w:pPr>
        <w:pStyle w:val="BodyText"/>
      </w:pPr>
      <w:r>
        <w:t>•  No new permission code and no change to how the API enforces each route — the backend already checked these codes; only the seeded grants and the front-end control visibility changed.</w:t>
      </w:r>
    </w:p>
    <w:p>
      <w:pPr>
        <w:pStyle w:val="BodyText"/>
      </w:pPr>
      <w:r>
        <w:t>Verified end to end: signed in as the Managing Director, GET /identity/auth/me returns all 53 permission codes; a read in every section of all four categories returns 200 with no 403; write (manage) calls — POST /suppliers, /customers, /products, /accounting/accounts, /assets, /attendance/shifts, /recruitment/vacancies, /payroll/runs, /shift-scheduling/entries, /employees — are accepted or fail only on payload validation (VALIDATION_ERROR), never on permission. Front-end build passes; OpenAPI unchanged.</w:t>
      </w:r>
    </w:p>
    <w:p>
      <w:pPr>
        <w:pStyle w:val="Heading2"/>
      </w:pPr>
      <w:r>
        <w:t>Impact on this document</w:t>
      </w:r>
    </w:p>
    <w:p>
      <w:pPr>
        <w:pStyle w:val="BodyText"/>
      </w:pPr>
      <w:r>
        <w:t>Admin — the Managing Director role now holds the complete permission catalogue (all 53 codes) — full manage / approve / view.sensitive across identity, organisation, HR, sales, support, expenses, assets, projects, accounting and accounts payable, plus delegation authority. Update the role–permission matrix accordingly; MY HR is user-scoped and needs no permission.</w:t>
      </w:r>
    </w:p>
    <w:p>
      <w:pPr>
        <w:pStyle w:val="Heading1"/>
      </w:pPr>
      <w:r>
        <w:t>76. Implementation Status Update 62 (31 August 2026) — Morise Brand Mark — Professional Logo Across Both Apps</w:t>
      </w:r>
    </w:p>
    <w:p>
      <w:pPr>
        <w:pStyle w:val="BodyText"/>
      </w:pPr>
      <w:r>
        <w:t>The Managing Director asked for a proper, professional Morise logo to replace the plain letter “M” placeholder that stood in for a brand mark in both the staff Admin app and the Customer Storefront.</w:t>
      </w:r>
    </w:p>
    <w:p>
      <w:pPr>
        <w:pStyle w:val="BodyText"/>
      </w:pPr>
      <w:r>
        <w:t>The mark: a geometric monoline “M” that also reads as an upward growth line and as a route between points — the group moves inputs, fuel, freight and value across sites — with an amber diamond resting on its apex, standing for the holding company as the connecting keystone of its subsidiaries. Colours are the existing brand tokens: Morise Navy #1E3A5F, Morise Amber #D97706, white. The “M” is a single continuous stroke with round caps and joins so it stays crisp from a 16px favicon upward.</w:t>
      </w:r>
    </w:p>
    <w:p>
      <w:pPr>
        <w:pStyle w:val="BodyText"/>
      </w:pPr>
      <w:r>
        <w:t>What changed (front-end assets + a shared component; no backend, schema, endpoint or migration):</w:t>
      </w:r>
    </w:p>
    <w:p>
      <w:pPr>
        <w:pStyle w:val="BodyText"/>
      </w:pPr>
      <w:r>
        <w:t>•  New brand/ folder at the repository root: morise-logo.svg (primary lockup — navy tile mark + MORISE wordmark + HOLDINGS LIMITED subtitle), morise-logomark.svg (navy app-tile), morise-logomark-light.svg (white “M”, transparent) and morise-logomark-dark.svg (navy “M”, transparent), plus brand/README.md — a one-page brand sheet (concept, colour values, clear-space, minimum sizes, do / don’t, file inventory).</w:t>
      </w:r>
    </w:p>
    <w:p>
      <w:pPr>
        <w:pStyle w:val="BodyText"/>
      </w:pPr>
      <w:r>
        <w:t>•  One shared React component, src/components/Logo.jsx, added identically to mbms/frontend and mbms/storefront. The “M” stroke uses currentColor, so a &lt;Logo/&gt; dropped into an existing badge inherits navy-on-white or white-on-navy from that badge automatically; the apex diamond is always amber. Props: size, tile (standalone navy tile) and tone (stroke override).</w:t>
      </w:r>
    </w:p>
    <w:p>
      <w:pPr>
        <w:pStyle w:val="BodyText"/>
      </w:pPr>
      <w:r>
        <w:t>•  Every “M” placeholder now renders &lt;Logo/&gt;: the Admin top bar and the Admin login card; the Storefront shop header, the corporate mini-site nav, the full-page disclaimer gate, and the four customer auth screens (sign in, register, forgot / reset password). Both index.html files gained an inline SVG data-URI favicon of the navy tile mark.</w:t>
      </w:r>
    </w:p>
    <w:p>
      <w:pPr>
        <w:pStyle w:val="BodyText"/>
      </w:pPr>
      <w:r>
        <w:t>Verified: production build of both React apps passes (vite build, 73 modules each, no new warnings); headless screenshots of the Admin login and the Storefront disclaimer gate show the new mark rendering correctly on navy and on white. No API surface change — OpenAPI unchanged.</w:t>
      </w:r>
    </w:p>
    <w:p>
      <w:pPr>
        <w:pStyle w:val="Heading2"/>
      </w:pPr>
      <w:r>
        <w:t>Impact on this document</w:t>
      </w:r>
    </w:p>
    <w:p>
      <w:pPr>
        <w:pStyle w:val="BodyText"/>
      </w:pPr>
      <w:r>
        <w:t>Admin — note the shared Logo component and the brand/ asset folder; when adding a screen that needs the mark, use &lt;Logo/&gt; (it inherits the surrounding text colour) rather than a new image.</w:t>
      </w:r>
    </w:p>
    <w:p>
      <w:pPr>
        <w:pStyle w:val="Heading1"/>
      </w:pPr>
      <w:r>
        <w:t>77. Implementation Status Update 63 (31 August 2026) — Morise Banner Family — Professional Banner Set Across Both Apps</w:t>
      </w:r>
    </w:p>
    <w:p>
      <w:pPr>
        <w:pStyle w:val="BodyText"/>
      </w:pPr>
      <w:r>
        <w:t>Following the new Morise logo, the Managing Director asked for a full set of professional banners for Morise. A coherent banner family was designed on the same brand language (navy #1E3A5F / amber #D97706, the monoline logomark as a watermark, an amber keystone diamond, and a thin “route” line through nodes for “every input, every mile, every store”).</w:t>
      </w:r>
    </w:p>
    <w:p>
      <w:pPr>
        <w:pStyle w:val="BodyText"/>
      </w:pPr>
      <w:r>
        <w:t>What was produced — SVG assets in a new brand/banners/ folder at the repository root, plus a one-page section in brand/README.md:</w:t>
      </w:r>
    </w:p>
    <w:p>
      <w:pPr>
        <w:pStyle w:val="BodyText"/>
      </w:pPr>
      <w:r>
        <w:t>•  group-hero.svg (1600×520, text baked) and group-hero-bg.svg (texture only, for use behind live page copy); page-header-bg.svg (1600×200) for interior page heads; social-card.svg (1200×630) for Open Graph / social sharing; email-header.svg (1200×280) for newsletters; promo-strip.svg (1600×200) for the storefront promotional strip; announcement-ribbon.svg (1600×56, “Demonstration build — not for production use”); auth-side.svg (960×1200) for the sign-in screens; and one banner per subsidiary — subsidiary-agro / -logistics / -clearing-forwarding / -warehouse / -collateral (1600×420 each), same navy ground and amber diamond with a single sector-accent hue on the route line.</w:t>
      </w:r>
    </w:p>
    <w:p>
      <w:pPr>
        <w:pStyle w:val="BodyText"/>
      </w:pPr>
      <w:r>
        <w:t>•  Every SVG is standalone — no external fonts (a system sans stack in &lt;text&gt;), no external refs — so each works as a file, an &lt;img&gt;, or a CSS background.</w:t>
      </w:r>
    </w:p>
    <w:p>
      <w:pPr>
        <w:pStyle w:val="BodyText"/>
      </w:pPr>
      <w:r>
        <w:t>Wired into the apps (front-end assets + a little CSS; no backend, schema, endpoint or migration): the banner SVGs are copied into mbms/frontend/public/brand/banners/ and mbms/storefront/public/brand/banners/; the storefront hero (.sf-hero) and the corporate mini-site hero (.mc-hero) now layer group-hero-bg.svg over their existing navy→blue gradient (the gradient stays as a graceful fallback); both index.html files gained Open Graph / Twitter-card meta tags pointing at social-card.svg.</w:t>
      </w:r>
    </w:p>
    <w:p>
      <w:pPr>
        <w:pStyle w:val="BodyText"/>
      </w:pPr>
      <w:r>
        <w:t>Seed data (seed-only, idempotent guards): the storefront promotional banner rail for the demo customer’s company (Morise Agro Ltd) is now a curated set of three — “Season stock-up”, “One storefront for the whole group” and “Bulk fuel and haulage, booked online” — each rendered by the existing text-only PromoBanner model that the storefront home already consumes.</w:t>
      </w:r>
    </w:p>
    <w:p>
      <w:pPr>
        <w:pStyle w:val="BodyText"/>
      </w:pPr>
      <w:r>
        <w:t>Verified: both React apps build (vite build, no new warnings); the backend seed type-checks; the banner assets serve at /brand/banners/… on both dev servers; a headless render of group-hero.svg and a contact sheet of the full set confirm the banners are correct on navy and on white. OpenAPI unchanged.</w:t>
      </w:r>
    </w:p>
    <w:p>
      <w:pPr>
        <w:pStyle w:val="Heading2"/>
      </w:pPr>
      <w:r>
        <w:t>Impact on this document</w:t>
      </w:r>
    </w:p>
    <w:p>
      <w:pPr>
        <w:pStyle w:val="BodyText"/>
      </w:pPr>
      <w:r>
        <w:t>Admin — the banner assets are in brand/banners/ and, for the apps, mirrored under each app’s public/brand/banners/. Storefront promotional banners remain managed in Admin » Marketing &amp; Promos (text-only: heading, body, link).</w:t>
      </w:r>
    </w:p>
    <w:p>
      <w:pPr>
        <w:pStyle w:val="Heading1"/>
      </w:pPr>
      <w:r>
        <w:t>78. Implementation Status Update 64 (31 August 2026) — Brand Banners Displayed Across the Customer Storefront</w:t>
      </w:r>
    </w:p>
    <w:p>
      <w:pPr>
        <w:pStyle w:val="BodyText"/>
      </w:pPr>
      <w:r>
        <w:t>The Managing Director asked that the Morise banners actually be displayed on the customer storefront, not only exist as brand assets. The banner family from brand/banners/ is now shown on every relevant storefront surface.</w:t>
      </w:r>
    </w:p>
    <w:p>
      <w:pPr>
        <w:pStyle w:val="BodyText"/>
      </w:pPr>
      <w:r>
        <w:t>What changed (storefront front-end only; no backend, schema, endpoint, permission or migration):</w:t>
      </w:r>
    </w:p>
    <w:p>
      <w:pPr>
        <w:pStyle w:val="BodyText"/>
      </w:pPr>
      <w:r>
        <w:t>•  A small helper in mbms/storefront/src/lib/corporate.js — bannerFor(name) maps a subsidiary to its /brand/banners/subsidiary-*.svg (group hero as the fallback), plus GROUP_HERO_BANNER and PROMO_STRIP_BANNER constants.</w:t>
      </w:r>
    </w:p>
    <w:p>
      <w:pPr>
        <w:pStyle w:val="BodyText"/>
      </w:pPr>
      <w:r>
        <w:t>•  Public holding-company site: the Companies grid on the landing page (corporate/Home.jsx) and the Companies directory (corporate/Companies.jsx) now render each card's picture as that subsidiary's banner instead of an empty grey placeholder; the single portfolio-company page (corporate/CompanyDetail.jsx) shows the subsidiary banner as its photo strip.</w:t>
      </w:r>
    </w:p>
    <w:p>
      <w:pPr>
        <w:pStyle w:val="BodyText"/>
      </w:pPr>
      <w:r>
        <w:t>•  Signed-in storefront: the subsidiary directory (Subsidiaries.jsx) shows the group hero banner at the top and each subsidiary's own banner on its card; the shop (Shop.jsx) shows the “One storefront for the whole group” promo strip, and swaps it for the selected subsidiary's banner when the company filter is set.</w:t>
      </w:r>
    </w:p>
    <w:p>
      <w:pPr>
        <w:pStyle w:val="BodyText"/>
      </w:pPr>
      <w:r>
        <w:t>•  CSS: img rules for .mc-co-photo and .mc-photo-strip (object-fit cover, left-anchored) and new .sf-hero-banner / .sf-shop-banner / .sf-sub-banner classes in storefront.css and corporate.css. The earlier .sf-hero / .mc-hero background-image treatment is unchanged.</w:t>
      </w:r>
    </w:p>
    <w:p>
      <w:pPr>
        <w:pStyle w:val="BodyText"/>
      </w:pPr>
      <w:r>
        <w:t>The admin-managed text PromoBanner rail on the signed-in home was already displayed and is unchanged (three curated rows since the previous update). No API surface change — OpenAPI unchanged.</w:t>
      </w:r>
    </w:p>
    <w:p>
      <w:pPr>
        <w:pStyle w:val="BodyText"/>
      </w:pPr>
      <w:r>
        <w:t>Verified: the storefront builds (vite build, no new warnings); the admin build is unaffected; headless screenshots of the landing Companies grid, the Companies directory, the subsidiary directory and the shop show the banners rendering correctly (per-subsidiary accent hues, left-anchored crop, group hero and promo strip in place).</w:t>
      </w:r>
    </w:p>
    <w:p>
      <w:pPr>
        <w:pStyle w:val="Heading2"/>
      </w:pPr>
      <w:r>
        <w:t>Impact on this document</w:t>
      </w:r>
    </w:p>
    <w:p>
      <w:pPr>
        <w:pStyle w:val="BodyText"/>
      </w:pPr>
      <w:r>
        <w:t>Admin — no admin change. The displayed banners are brand assets (brand/banners/, mirrored to the storefront's public/brand/banners/); the admin-managed promotional banners (Marketing &amp; Promos) are a separate, text-only rail on the signed-in home.</w:t>
      </w:r>
    </w:p>
    <w:p>
      <w:pPr>
        <w:pStyle w:val="Heading1"/>
      </w:pPr>
      <w:r>
        <w:t>79. Implementation Status Update 65 (31 August 2026) — Delivery Management System for Morise Logistics Ltd — Specification (New Doc 22) + Phase 1 Back End</w:t>
      </w:r>
    </w:p>
    <w:p>
      <w:pPr>
        <w:pStyle w:val="BodyText"/>
      </w:pPr>
      <w:r>
        <w:t>As an administrator, the Managing Director asked for the concept of delivery to be added to the subsidiary Morise Logistics Ltd — a delivery capability that takes goods, services and invoices to customers who have placed orders through the group Customer Storefront, carrying each order from “ready for delivery” through dispatch and transit to a recorded proof of delivery. The delivery software's functional and technical scope has been captured as a new companion specification, docx/22_Delivery Management System — Feature Specification, restating the client-supplied Delivery-Software-Feature-Specification.docx in the same house format as docs 19, 20 and 21.</w:t>
      </w:r>
    </w:p>
    <w:p>
      <w:pPr>
        <w:pStyle w:val="BodyText"/>
      </w:pPr>
      <w:r>
        <w:t>The specification describes the full target platform (ten feature modules — customer delivery experience; driver / courier app; dispatch &amp; operations console; route optimisation; proof of delivery &amp; exceptions; document &amp; invoice delivery; pricing, zones &amp; fees; fleet &amp; driver management; notifications; reporting — plus architecture, roles and a roadmap). A Phase 1 back end covering the core of that workflow is already implemented in MBMS: Prisma migration 20260831120000_delivery (tables deliveries, delivery_drivers, delivery_events; status / kind / proof enums), a src/delivery/ NestJS module wired into AppModule, a staff API at /api/v1/delivery (list / create / assign driver / advance status / capture proof / fail / cancel, dispatch metrics, an eligible-orders queue, and driver CRUD) and a customer tracking read at GET /api/v1/customer-portal/orders/:id/delivery — every endpoint scope-checked and every mutation audited. Completing a goods delivery advances its order to “delivered”.</w:t>
      </w:r>
    </w:p>
    <w:p>
      <w:pPr>
        <w:pStyle w:val="BodyText"/>
      </w:pPr>
      <w:r>
        <w:t>The capability is not yet wired for use: the delivery.manage and delivery.viewAll permission codes are not in the seed permission catalogue and no role holds them, so every /api/v1/delivery call currently returns 403; there is no seed data, no “Delivery” screen in the Admin app and no tracking view in the storefront, and openapi.json has not been regenerated. Morise Logistics Ltd already exists as a live subsidiary (Jinja Branch; last-mile delivery service LOG-2003); the delivery hubs, departments and policies in doc 22 Section 8 remain proposals. The wider platform (mobile apps, route optimisation, the fee engine, telematics, notifications, driver analytics) is future scope.</w:t>
      </w:r>
    </w:p>
    <w:p>
      <w:pPr>
        <w:pStyle w:val="Heading2"/>
      </w:pPr>
      <w:r>
        <w:t>Impact on this document</w:t>
      </w:r>
    </w:p>
    <w:p>
      <w:pPr>
        <w:pStyle w:val="BodyText"/>
      </w:pPr>
      <w:r>
        <w:t>Admin — a “Delivery” admin section is planned as the dispatch surface for Morise Logistics Ltd (queue, drivers, assignment, proof, metrics); it is not present in the Admin app yet. When added it will gate on delivery.manage / delivery.viewAll. Morise Logistics Ltd's organisation is managed as any subsidiary under the subsidiary-lifecycle capability; the doc 22 Section 8 hubs, departments and policies are proposals.</w:t>
      </w:r>
    </w:p>
    <w:p>
      <w:pPr>
        <w:pStyle w:val="Heading1"/>
      </w:pPr>
      <w:r>
        <w:t>80. Implementation Status Update 66 (31 August 2026) — Automatic Morise-Stamped Invoice on Customer-Acknowledged Delivery (Doc 22 Addendum)</w:t>
      </w:r>
    </w:p>
    <w:p>
      <w:pPr>
        <w:pStyle w:val="BodyText"/>
      </w:pPr>
      <w:r>
        <w:t>A customer has asked that, once the delivery persona from Morise Logistics Ltd has delivered the goods or services and the customer has acknowledged receiving them in good condition, MBMS automatically issues a Morise-stamped invoice for that order — one branded document that is the definitive proof of supply and of the customer's acceptance. The concept has been added to docx/22_Delivery Management System — Feature Specification as an addendum (“Customer Acknowledgement of Delivery &amp; the Automatic Morise-Stamped Invoice”).</w:t>
      </w:r>
    </w:p>
    <w:p>
      <w:pPr>
        <w:pStyle w:val="BodyText"/>
      </w:pPr>
      <w:r>
        <w:t>Mechanism. The delivery persona completes the delivery and captures proof of delivery (delivery — “delivered”, order — “delivered”). The customer is then prompted in the storefront to confirm the outcome — received in good condition, damaged, incomplete, or not received (proposed POST /api/v1/customer-portal/orders/:id/delivery/acknowledge, customer-JWT, audited). On a “good condition” acknowledgement the order's existing invoice is moved to an issued / stamped state and a Morise-stamped invoice PDF is generated — the Morise brand mark used as a seal, plus the delivery and acknowledgement details, in the customer's language. On any other outcome no stamp is issued: a delivery exception is opened and the invoice stays provisional.</w:t>
      </w:r>
    </w:p>
    <w:p>
      <w:pPr>
        <w:pStyle w:val="BodyText"/>
      </w:pPr>
      <w:r>
        <w:t>Status — specification only. It extends the Delivery Management System (doc 22, whose Phase 1 back end is present but switched off) and the existing per-order invoice with an issued / stamped state and a branded document. Nothing is built: there is no customer acknowledgement endpoint, no invoice-stamp fields or migration, and no brand mark in the invoice PDF (today a plain table with a text footer). Recorded as a doc 22 addendum plus this status-log entry; no code, schema, endpoint, permission or migration change; OpenAPI unchanged.</w:t>
      </w:r>
    </w:p>
    <w:p>
      <w:pPr>
        <w:pStyle w:val="Heading2"/>
      </w:pPr>
      <w:r>
        <w:t>Impact on this document</w:t>
      </w:r>
    </w:p>
    <w:p>
      <w:pPr>
        <w:pStyle w:val="BodyText"/>
      </w:pPr>
      <w:r>
        <w:t>Admin — dispatch will see the acknowledgement status on each delivery and be able to record a verbal acknowledgement on the customer's behalf; support picks up the exceptions raised by a non-good acknowledgement. Not built.</w:t>
      </w:r>
    </w:p>
    <w:p>
      <w:pPr>
        <w:pStyle w:val="Heading1"/>
      </w:pPr>
      <w:r>
        <w:t>81. Implementation Status Update 67 (31 August 2026) — Admin Assignment of a Morise Logistics Ltd Delivery Persona to an Order (Doc 22 Addendum)</w:t>
      </w:r>
    </w:p>
    <w:p>
      <w:pPr>
        <w:pStyle w:val="BodyText"/>
      </w:pPr>
      <w:r>
        <w:t>An administrator has asked to be able to assign a delivery persona (a driver / courier) from Morise Logistics Ltd to deliver the products or services on an order a customer has placed. The workflow has been recorded in docx/22_Delivery Management System — Feature Specification as an addendum (“Admin Assignment of a Morise Logistics Ltd Delivery Persona to an Order”), covering Sections 2.3 (Dispatch &amp; Operations Console) and 2.8 (Fleet &amp; Driver Management).</w:t>
      </w:r>
    </w:p>
    <w:p>
      <w:pPr>
        <w:pStyle w:val="BodyText"/>
      </w:pPr>
      <w:r>
        <w:t>A dispatcher (a user with delivery.manage) reviews the orders that can still be handed to Logistics (GET /api/v1/delivery/eligible-orders — a fulfilment-state order, not cancelled, without a delivery), creates a delivery against the chosen order (POST /api/v1/delivery, companyId = Morise Logistics Ltd, orderId — customer, origin company, drop address and delivery fee resolved from the order), and assigns a delivery persona from Morise Logistics Ltd's pool, either on create (driverId — status “assigned”) or afterwards (POST /api/v1/delivery/:id/assign with driverId, optional scheduledDate, note). Personas are delivery_drivers rows scoped to Morise Logistics Ltd (name, phone, licence, vehicle, active flag, optional Employee link) with their own CRUD and an open-delivery count; assignment is refused unless the persona is active and in the same company as the delivery. Assigning stamps assignedAt, moves a “pending” delivery to “assigned”, logs a delivery event and records a delivery.driver_assigned audit entry; a non-terminal delivery can be reassigned the same way. All of this is implemented in the Phase 1 back end.</w:t>
      </w:r>
    </w:p>
    <w:p>
      <w:pPr>
        <w:pStyle w:val="BodyText"/>
      </w:pPr>
      <w:r>
        <w:t>Not yet usable: the delivery.manage / delivery.viewAll permission codes are not in the seed permission catalogue and no role holds them, so every /api/v1/delivery call returns 403; there are no seeded Morise Logistics Ltd drivers, and there is no “Delivery” dispatch screen in the Admin app. Recorded as a doc 22 addendum plus this status-log entry; no code, schema, endpoint, permission or migration change; OpenAPI unchanged.</w:t>
      </w:r>
    </w:p>
    <w:p>
      <w:pPr>
        <w:pStyle w:val="Heading2"/>
      </w:pPr>
      <w:r>
        <w:t>Impact on this document</w:t>
      </w:r>
    </w:p>
    <w:p>
      <w:pPr>
        <w:pStyle w:val="BodyText"/>
      </w:pPr>
      <w:r>
        <w:t>Admin — the planned “Delivery” section is where a dispatcher does this: an eligible-orders queue, a persona board with open-delivery counts, and assign / reassign actions, gated on delivery.manage. Delivery-persona records (delivery_drivers, scoped to Morise Logistics Ltd) are managed there too. Not present in the Admin app yet.</w:t>
      </w:r>
    </w:p>
    <w:p>
      <w:pPr>
        <w:pStyle w:val="Heading1"/>
      </w:pPr>
      <w:r>
        <w:t>82. Implementation Status Update 68 (31 August 2026) — Delivery Module Activated — delivery.manage / delivery.viewAll Seeded &amp; Granted</w:t>
      </w:r>
    </w:p>
    <w:p>
      <w:pPr>
        <w:pStyle w:val="BodyText"/>
      </w:pPr>
      <w:r>
        <w:t>The Delivery Management System back end for Morise Logistics Ltd (docx/22; recorded across Updates 65—67) has been activated. Its two permission codes — delivery.manage and delivery.viewAll — have been added to the seed permission catalogue (prisma/seed.ts, domain operations) and granted to roles, so the dispatch API is now reachable and an authorised administrator can assign a delivery persona from Morise Logistics Ltd to a customer's order.</w:t>
      </w:r>
    </w:p>
    <w:p>
      <w:pPr>
        <w:pStyle w:val="BodyText"/>
      </w:pPr>
      <w:r>
        <w:t>Grants: delivery.manage + delivery.viewAll to Super Administrator, Managing Director, IT Administrator and Operations Manager; delivery.manage (own company scope) to Branch Manager; delivery.viewAll to Group CEO, Auditor, External Auditor, Board Member and Read-only User. Verified end to end against the running system: signed in as the Managing Director, GET /api/v1/delivery, /delivery/metrics, /delivery/eligible-orders and /delivery/drivers return 200 (they returned 403 before); a Morise Logistics Ltd delivery persona was created, a delivery (DEL-2026-0001) was created for a storefront order — the customer, drop address and delivery fee were resolved from the order — and the persona was assigned, moving the delivery pending → assigned, stamping assignedAt, appending a delivery event and recording a delivery.driver_assigned audit entry. The verification rows were then removed, so no delivery data is seeded.</w:t>
      </w:r>
    </w:p>
    <w:p>
      <w:pPr>
        <w:pStyle w:val="BodyText"/>
      </w:pPr>
      <w:r>
        <w:t>Seed data + grants only — no schema, endpoint, migration or application-code change; the endpoints were already built and wired (recorded in Update 65). This supersedes the “switched off / every /api/v1/delivery call returns 403” statements in Updates 65, 66 and 67 and their addenda. Still pending: seeded Morise Logistics Ltd delivery personas, an Admin “Delivery” dispatch screen (and a storefront tracking view), and an openapi.json regeneration so the endpoints appear in the published API contract.</w:t>
      </w:r>
    </w:p>
    <w:p>
      <w:pPr>
        <w:pStyle w:val="Heading2"/>
      </w:pPr>
      <w:r>
        <w:t>Impact on this document</w:t>
      </w:r>
    </w:p>
    <w:p>
      <w:pPr>
        <w:pStyle w:val="BodyText"/>
      </w:pPr>
      <w:r>
        <w:t>Admin — an admin holding delivery.manage (Managing Director, IT Administrator, Operations Manager, and a Branch Manager within their scope) can now create deliveries and assign Morise Logistics Ltd delivery personas through /api/v1/delivery; the “Delivery” Admin screen to do this from the UI is still to be built. delivery.viewAll gives Group CEO, the Auditors, Board Member and Read-only User read-only oversight.</w:t>
      </w:r>
    </w:p>
    <w:p>
      <w:pPr>
        <w:pStyle w:val="Heading1"/>
      </w:pPr>
      <w:r>
        <w:t>83. Implementation Status Update 69 (31 August 2026) — Customer Storefront Wording: Services Catalog / Add to Invoice / Invoice</w:t>
      </w:r>
    </w:p>
    <w:p>
      <w:pPr>
        <w:pStyle w:val="BodyText"/>
      </w:pPr>
      <w:r>
        <w:t>An administrator asked for three wording changes in the Customer Storefront: “product catalog” becomes “services catalog”, the “Add to Cart” action becomes “Add to Invoice”, and “Cart” becomes “Invoice” throughout the shopping flow.</w:t>
      </w:r>
    </w:p>
    <w:p>
      <w:pPr>
        <w:pStyle w:val="BodyText"/>
      </w:pPr>
      <w:r>
        <w:t>The change is front-end text only. It updates the storefront's string catalogue: en.js (the master key set) in full — header.cart (Cart — Invoice), common.addToCart / productDetail.added / productDetail.addFromBranch (the “Add to Cart” / “Added to Cart” forms — the “Invoice” forms), shop.heading (“Product Catalog” — “Services Catalog”), shop.loadFailed, cart.crumb (“Shop / Cart” — “Shop / Invoice”), cart.heading (“Cart &amp; Checkout” — “Invoice &amp; Checkout”), cart.emptyLead, cart.browseCatalog, landing.feat.shop.title, and the landing hero / step / disclaimer prose that mentions “product catalog” or “your cart” — plus the matching, already-translated keys in the eight other full languages (French, Spanish, Portuguese, German, Italian, Swahili, Luganda, Arabic) and the two partial ones (Runyankole, Acholi), so no supported language shows the old wording. The header basket icon changes from 🛒 to 🧾.</w:t>
      </w:r>
    </w:p>
    <w:p>
      <w:pPr>
        <w:pStyle w:val="BodyText"/>
      </w:pPr>
      <w:r>
        <w:t>No route, component, API, permission or data-model change: the URL is still /cart, the React components (CartPage, CartProvider, lib/cart.jsx), the CSS classes and the orders / invoices back end are untouched — an order still creates its Invoice at order time exactly as before. Only the customer-facing labels change, to “services catalog”, “Add to Invoice” and “Invoice”. Verified with a production vite build (73 modules, no errors).</w:t>
      </w:r>
    </w:p>
    <w:p>
      <w:pPr>
        <w:pStyle w:val="Heading2"/>
      </w:pPr>
      <w:r>
        <w:t>Impact on this document</w:t>
      </w:r>
    </w:p>
    <w:p>
      <w:pPr>
        <w:pStyle w:val="BodyText"/>
      </w:pPr>
      <w:r>
        <w:t>Admin — no admin-app change; this is a customer-storefront wording change requested by an administrator. The admin app's own labels are unchanged.</w:t>
      </w:r>
    </w:p>
    <w:p>
      <w:pPr>
        <w:pStyle w:val="Heading1"/>
      </w:pPr>
      <w:r>
        <w:t>84. Implementation Status Update 70 (1 September 2026) — Payroll Management — Feature Specification</w:t>
      </w:r>
    </w:p>
    <w:p>
      <w:pPr>
        <w:pStyle w:val="BodyText"/>
      </w:pPr>
      <w:r>
        <w:t>An administrator asked that a Payroll Management section be recorded: the payroll system should support employees across multiple subsidiaries, with salary structures (basic salary, allowances, overtime, bonuses, commissions), deductions (loans, advances, taxes, statutory deductions, pension contributions), payroll approval, payslip generation, bank payment schedules, payroll history, and payroll reports at department, company and consolidated group level.</w:t>
      </w:r>
    </w:p>
    <w:p>
      <w:pPr>
        <w:pStyle w:val="BodyText"/>
      </w:pPr>
      <w:r>
        <w:t>Much of the core is already built (Update 41, 28 August 2026). MBMS runs a monthly PayrollRun per subsidiary (draft → approved → paid), producing a Payslip per active employee that computes Uganda PAYE and the NSSF employee / employer contributions from Employee.grossSalary, less any salary-advance instalment and a manual other-deductions figure; paying a run posts a balanced journal entry to that company's ledger and notifies each employee whose login can see their payslip. Salary advances have their own request → approve / reject → recovering → recovered lifecycle and are recovered automatically by the next run. The module is multi-subsidiary: every run is company-scoped and payroll.viewAll gives group-wide visibility; My Payslips is the employee self-service view. Of the requested list, these are live: multi-subsidiary support, basic (gross) salary, advances, taxes (PAYE), statutory deductions (NSSF), pension via NSSF, payroll approval, payslip data generation and payroll history.</w:t>
      </w:r>
    </w:p>
    <w:p>
      <w:pPr>
        <w:pStyle w:val="BodyText"/>
      </w:pPr>
      <w:r>
        <w:t>The rest is recorded as the Payroll Management backlog on top of that core, and is not built: a salary-structure model with distinct components (basic, allowances, overtime, bonuses, commissions) rather than a single gross figure; typed deductions and a long-term loan facility (with an interest / repayment schedule) distinct from the short-term advance; a voluntary / occupational pension scheme beyond NSSF; a rendered PDF payslip; bank payment schedules / an EFT payment file; and the reporting suite — payroll reports, department payroll reports (there is no department dimension on the payslip today), company payroll reports and consolidated group payroll reports (no report endpoint exists). This update adds the specification only — no code, schema, endpoint or permission change; the built Payroll module is unchanged.</w:t>
      </w:r>
    </w:p>
    <w:p>
      <w:pPr>
        <w:pStyle w:val="Heading2"/>
      </w:pPr>
      <w:r>
        <w:t>Impact on this document</w:t>
      </w:r>
    </w:p>
    <w:p>
      <w:pPr>
        <w:pStyle w:val="BodyText"/>
      </w:pPr>
      <w:r>
        <w:t>Admin — payroll is in the HUMAN RESOURCES category (Payroll screen, payroll.manage / payroll.approve / payroll.viewAll). The spec's additions (salary structures, loans, bank schedules, the report views) would extend that screen; no admin change ships with this update.</w:t>
      </w:r>
    </w:p>
    <w:p>
      <w:pPr>
        <w:pStyle w:val="Heading1"/>
      </w:pPr>
      <w:r>
        <w:t>85. Implementation Status Update 71 (1 September 2026) — Payroll: Salary Structures, Allowances, Overtime &amp; Bonuses</w:t>
      </w:r>
    </w:p>
    <w:p>
      <w:pPr>
        <w:pStyle w:val="BodyText"/>
      </w:pPr>
      <w:r>
        <w:t>Implementing the first slice of the Payroll Management backlog recorded in Update 70: salary structures, allowances, overtime and bonuses are now built. An employee's monthly pay is built up from a salary structure of components — a basic salary, one or more allowances, and one-off overtime or bonus lines — instead of a single flat gross figure.</w:t>
      </w:r>
    </w:p>
    <w:p>
      <w:pPr>
        <w:pStyle w:val="BodyText"/>
      </w:pPr>
      <w:r>
        <w:t>What changed (mbms/backend/src/payroll/ + one migration + the Payroll admin screen): a new salary_components table (type basic / allowance / overtime / bonus, label, amount, a recurring flag, and periodYear / periodMonth for a one-off line) holds each employee's structure; a payslip_components child table records the earnings breakdown captured on every payslip. A payroll run now derives each employee's gross from the sum of their applicable components (all recurring components, plus one-off components tagged for that month), falling back to Employee.grossSalary when an employee has no structure — so existing data keeps working. PAYE and NSSF are still computed on the resulting gross by the same Uganda statutory util; the GL posting on pay is unchanged. New endpoints: GET / POST /api/v1/payroll/salary-components, PATCH / DELETE /api/v1/payroll/salary-components/:id, and GET /api/v1/payroll/salary-structure/:employeeId (the assembled structure for a month with a PAYE / NSSF / net preview) — all under the existing payroll.manage / payroll.viewAll permissions, no new code. The Admin Payroll screen gains a Salary structures tab; each payslip row in a run expands to its component breakdown; My Payslips carries the same breakdown.</w:t>
      </w:r>
    </w:p>
    <w:p>
      <w:pPr>
        <w:pStyle w:val="BodyText"/>
      </w:pPr>
      <w:r>
        <w:t>Verified end to end: two demo Morise Agro Ltd employees were given a structure (basic + housing + transport allowances, plus a one-off overtime line for Grace Auma and a one-off performance bonus for Peter Kintu); a September 2026 payroll run derived their gross from the components (Grace 1,600,000 → 1,780,000 with the overtime; Kintu 2,800,000 → 3,300,000 with the bonus) and each payslip carried the four-line breakdown, while structure-less employees fell back to their flat gross unchanged; component create / update / delete work and a role without payroll.manage is refused (403). Backend nest build and the admin vite build are clean. Migration 20260901120000_salary_structures applied. The remaining Payroll Management backlog — commissions, typed deductions, a loan facility, a voluntary pension, a payslip PDF, bank payment schedules and the reporting suite — is unchanged.</w:t>
      </w:r>
    </w:p>
    <w:p>
      <w:pPr>
        <w:pStyle w:val="Heading2"/>
      </w:pPr>
      <w:r>
        <w:t>Impact on this document</w:t>
      </w:r>
    </w:p>
    <w:p>
      <w:pPr>
        <w:pStyle w:val="BodyText"/>
      </w:pPr>
      <w:r>
        <w:t>Admin — the Payroll screen gains a Salary structures tab (company → employee → components, add / deactivate / delete, gross + statutory preview), gated on payroll.manage / payroll.viewAll like the rest of the screen. A run's Payslips modal expands each row to its component lines.</w:t>
      </w:r>
    </w:p>
    <w:p>
      <w:pPr>
        <w:pStyle w:val="Heading1"/>
      </w:pPr>
      <w:r>
        <w:t>86. Implementation Status Update 72 (1 September 2026) — Accounting &amp; Finance Feature Section</w:t>
      </w:r>
    </w:p>
    <w:p>
      <w:pPr>
        <w:pStyle w:val="BodyText"/>
      </w:pPr>
      <w:r>
        <w:t>An administrator asked that a “7. Accounting and Finance” section be recorded: the financial module should be one of the core components of the system, covering General Ledger (chart of accounts, journal entries, general ledger, trial balance, financial periods, account reconciliation, recurring journals, adjusting entries, closing entries), Accounts Receivable (customer invoices, credit / debit notes, customer payments, outstanding invoices, payment reminders, customer statements, aging reports, receivable reconciliation), Accounts Payable (supplier / purchase invoices, supplier payments, credit notes, supplier statements, outstanding bills, aging reports, payment schedules, approval workflows) and Financial Statements (Profit and Loss, Balance Sheet, Cash Flow Statement, Trial Balance, General Ledger, Statement of Changes in Equity, Budget versus actual, Financial ratios, Management accounts).</w:t>
      </w:r>
    </w:p>
    <w:p>
      <w:pPr>
        <w:pStyle w:val="BodyText"/>
      </w:pPr>
      <w:r>
        <w:t>This module is already one of the built core components of MBMS — the Sprint 10 “Full Accounting” slice and the 19 August 2026 Financial Module Deepening. Against the requested list, all four areas are substantially built. General Ledger: the Account chart (type / sub-type), JournalEntry / JournalEntryItem with a draft → posted lifecycle and a standard / adjusting / closing entry type, FinancialPeriod with an open → closed lifecycle (a close posts the closing entries), RecurringJournalEntry with a generate action, AccountReconciliation, and reports for the general ledger and trial balance. Accounts Receivable: Invoice, CustomerCreditNote / CustomerDebitNote, Payment / PaymentAllocation, and /ar endpoints for aging, outstanding invoices, a customer statement (with PDF) and a payment reminder. Accounts Payable: SupplierInvoice / SupplierInvoiceItem with a draft → pending_approval → approved → paid workflow (submit-for-approval / approve under ap.approve), SupplierPayment / SupplierPaymentApplication, SupplierCreditNote, and /ap endpoints for aging, a supplier statement and a payment schedule. Financial Statements: /accounting/reports/ for income-statement (Profit and Loss), balance-sheet, cash-flow-statement, trial-balance, general-ledger, statement-of-changes-in-equity, budget-vs-actual (with the Budget model), financial-ratios and management-accounts. All gated by accounting.manage / accounting.viewAll (AR reuses these) and ap.manage / ap.approve / ap.viewAll; the finance/overview endpoint and the FINANCIAL &amp; ACCOUNTING admin category tie them together.</w:t>
      </w:r>
    </w:p>
    <w:p>
      <w:pPr>
        <w:pStyle w:val="BodyText"/>
      </w:pPr>
      <w:r>
        <w:t>Gaps against the requested list: a dedicated Accounts Receivable sub-ledger reconciliation (open customer invoices vs. the GL AR control account) — the generic account reconciliation can be pointed at the AR control account, but there is no purpose-built AR reconciliation view; and “purchase invoices” and “supplier invoices” are the same entity here (SupplierInvoice). This update adds the specification / status record only — no code, schema, endpoint or permission change; the built financial module is unchanged.</w:t>
      </w:r>
    </w:p>
    <w:p>
      <w:pPr>
        <w:pStyle w:val="Heading2"/>
      </w:pPr>
      <w:r>
        <w:t>Impact on this document</w:t>
      </w:r>
    </w:p>
    <w:p>
      <w:pPr>
        <w:pStyle w:val="BodyText"/>
      </w:pPr>
      <w:r>
        <w:t>Admin — this is the FINANCIAL &amp; ACCOUNTING admin category, gated by accounting.manage / accounting.viewAll and ap.manage / ap.approve / ap.viewAll. No admin change.</w:t>
      </w:r>
    </w:p>
    <w:p>
      <w:pPr>
        <w:pStyle w:val="Heading1"/>
      </w:pPr>
      <w:r>
        <w:t>87. Implementation Status Update 73 (1 September 2026) — Cash &amp; Bank Management Feature Section</w:t>
      </w:r>
    </w:p>
    <w:p>
      <w:pPr>
        <w:pStyle w:val="BodyText"/>
      </w:pPr>
      <w:r>
        <w:t>An administrator asked that a “Cash and Bank Management” section be recorded, covering bank account management, cash accounts, petty cash, bank deposits, bank withdrawals, transfers, bank reconciliation, cash reconciliation, payment vouchers, receipt vouchers, cash-flow forecasting and cash position reports.</w:t>
      </w:r>
    </w:p>
    <w:p>
      <w:pPr>
        <w:pStyle w:val="BodyText"/>
      </w:pPr>
      <w:r>
        <w:t>There is no dedicated Cash &amp; Bank module in MBMS yet, but several of these features are already reachable through the built General Ledger. Bank and cash accounts are General Ledger Account rows carrying an accountSubType of bank or cash, created and edited through /accounting/accounts; a bank deposit, a bank withdrawal or a bank → cash / bank → bank transfer is recorded today as a manual balanced journal entry against those accounts. Bank reconciliation and cash reconciliation are fully built — the AccountReconciliation model and /accounting/reconciliations (+ /:id/reconcile) reconcile any account's ledger balance to an external statement balance as of a date, with a variance and an open → reconciled lifecycle; pointing it at a bank or cash account is exactly bank / cash reconciliation. A group-wide cash position (cash and bank balances per company) is already exposed by the dashboard financials and the /finance/overview endpoint.</w:t>
      </w:r>
    </w:p>
    <w:p>
      <w:pPr>
        <w:pStyle w:val="BodyText"/>
      </w:pPr>
      <w:r>
        <w:t>Net-new on the backlog: a purpose-built bank / cash account register (bank name, account number, currency, branch, opening balance) rather than a bare GL account; a petty cash float / imprest with top-ups and expense drawdowns; one-step deposit, withdrawal and transfer actions that post the journal entry for you; payment vouchers and receipt vouchers as printable, approved documents; cash-flow forecasting (a forward projection from open receivables / payables and scheduled items, distinct from the historical cash-flow statement); and a dedicated cash position report by account and date. This update adds the specification / status record only — no code, schema, endpoint or permission change; the built ledger and reconciliation are unchanged.</w:t>
      </w:r>
    </w:p>
    <w:p>
      <w:pPr>
        <w:pStyle w:val="Heading2"/>
      </w:pPr>
      <w:r>
        <w:t>Impact on this document</w:t>
      </w:r>
    </w:p>
    <w:p>
      <w:pPr>
        <w:pStyle w:val="BodyText"/>
      </w:pPr>
      <w:r>
        <w:t>Admin — bank / cash accounts are managed on the General Ledger &amp; Journals screen (as GL accounts); reconciliation is on the reconciliation area; the group cash position is on the Financial &amp; Accounting overview and the dashboard. A dedicated Cash &amp; Bank screen would join the FINANCIAL &amp; ACCOUNTING category.</w:t>
      </w:r>
    </w:p>
    <w:p>
      <w:pPr>
        <w:pStyle w:val="Heading1"/>
      </w:pPr>
      <w:r>
        <w:t>88. Implementation Status Update 74 (1 September 2026) — Budget Management Feature Section</w:t>
      </w:r>
    </w:p>
    <w:p>
      <w:pPr>
        <w:pStyle w:val="BodyText"/>
      </w:pPr>
      <w:r>
        <w:t>An administrator asked that a “Budget Management” section be recorded, covering annual budgets, department budgets, project budgets, company budgets, group budgets, capital expenditure budgets, operating expenditure budgets, budget approval, budget revisions, budget versus actual, budget utilization, budget alerts and variance analysis.</w:t>
      </w:r>
    </w:p>
    <w:p>
      <w:pPr>
        <w:pStyle w:val="BodyText"/>
      </w:pPr>
      <w:r>
        <w:t>A budgeting capability is already built in the General Ledger. A Budget is one budgeted amount per Account per FinancialPeriod, set through /accounting/budgets (an upsert; every change is audited with the previous and new amount, giving a revision trail); GET /accounting/reports/budget-vs-actual lists every budgeted account for a period with its actual posted activity, the variance and the variance percentage, and that block also rides inside /accounting/reports/management-accounts. So company budgets, budget versus actual and a derived %-utilization (actual / budgeted) are live per subsidiary. Project budgets are also built — Project.budget with a budget-vs-actual-cost variance on the project summary.</w:t>
      </w:r>
    </w:p>
    <w:p>
      <w:pPr>
        <w:pStyle w:val="BodyText"/>
      </w:pPr>
      <w:r>
        <w:t>Net-new on the backlog: an annual (fiscal-year) budget as a first-class concept distinct from the per-period figure; a department dimension on the budget; a group budget that rolls up across the subsidiaries; an explicit capital-expenditure / operating-expenditure classification; a budget approval workflow (draft → approved) and versioned budget revisions (original vs revised, not just an audit trail); a dedicated budget-utilization report; budget alerts when spend crosses a threshold (this codebase has no configurable alert-rule engine yet); and a deeper variance analysis (favourable / unfavourable classification, drill-down and commentary) beyond the budget-vs-actual figure. This update adds the specification / status record only — no code, schema, endpoint or permission change; the built Budget model and budget-vs-actual report are unchanged.</w:t>
      </w:r>
    </w:p>
    <w:p>
      <w:pPr>
        <w:pStyle w:val="Heading2"/>
      </w:pPr>
      <w:r>
        <w:t>Impact on this document</w:t>
      </w:r>
    </w:p>
    <w:p>
      <w:pPr>
        <w:pStyle w:val="BodyText"/>
      </w:pPr>
      <w:r>
        <w:t>Admin — budgets are set on the Accounting / Reports area (per account per period) and on the Projects screen (per project); budget-vs-actual is a report. A dedicated Budgets screen with the approval workflow, revisions and alerts would join the FINANCIAL &amp; ACCOUNTING category.</w:t>
      </w:r>
    </w:p>
    <w:p>
      <w:pPr>
        <w:pStyle w:val="Heading1"/>
      </w:pPr>
      <w:r>
        <w:t>89. Implementation Status Update 75 (1 September 2026) — Sales Management Feature Section</w:t>
      </w:r>
    </w:p>
    <w:p>
      <w:pPr>
        <w:pStyle w:val="BodyText"/>
      </w:pPr>
      <w:r>
        <w:t>An administrator asked that a “Sales Management” section be recorded, covering Customer Management (customer registration, profiles, contacts, categories, credit limits, payment terms, history, statements), Sales (quotations, sales orders, delivery notes, invoices, receipts, credit notes, sales returns, discounts, promotions, sales commissions, sales targets, sales performance) and CRM (leads, opportunities, follow-ups, customer interactions, calls, emails, meetings, sales pipeline, customer complaints, customer feedback).</w:t>
      </w:r>
    </w:p>
    <w:p>
      <w:pPr>
        <w:pStyle w:val="BodyText"/>
      </w:pPr>
      <w:r>
        <w:t>Customer Management and the core of Sales are already built. The Customer model carries name, category, contact email / phone, address, credit limit, payment-terms days and status; customers are registered by staff (POST /customers) or self-register in the storefront (with a Google-linked option), edited via PATCH /customers/:id, filtered by category, and each has a statement (GET /customers/:id/statement, plus /ar/statement and the storefront statement + PDF) and an order / invoice / payment history. On the Sales side: Order with a placed → confirmed → packed → out_for_delivery → delivered status machine (/sales/orders, sales.order.manage); an Invoice per order; CustomerCreditNote (/ar/credit-notes); admin-managed discount codes and promotional banners consumed by the storefront; and the Delivery module tracks the physical delivery with proof of delivery. Support tickets (SupportTicket, open → resolved, with categories and priority) are the customer-complaint and feedback channel today.</w:t>
      </w:r>
    </w:p>
    <w:p>
      <w:pPr>
        <w:pStyle w:val="BodyText"/>
      </w:pPr>
      <w:r>
        <w:t>Net-new on the backlog: quotations; a printed delivery note and a printed receipt document; a sales-return / RMA model (a return is only a credit note today); sales commissions (also a Payroll backlog item), sales targets and a sales-performance dashboard (the “Sales Performance” tile is deliberately deferred); a multi-contact list per customer and a credit-limit check enforced at order time (the limit is stored but not enforced); and the whole CRM — leads, opportunities, follow-ups, an activity / interaction log for calls, emails and meetings, a sales pipeline, and structured customer feedback — none of which exists as a module. This update adds the specification / status record only — no code, schema, endpoint or permission change.</w:t>
      </w:r>
    </w:p>
    <w:p>
      <w:pPr>
        <w:pStyle w:val="Heading2"/>
      </w:pPr>
      <w:r>
        <w:t>Impact on this document</w:t>
      </w:r>
    </w:p>
    <w:p>
      <w:pPr>
        <w:pStyle w:val="BodyText"/>
      </w:pPr>
      <w:r>
        <w:t>Admin — this spans the ADMIN / BACKEND category: Customers (CRM), Order Management, Marketing &amp; Promos, Support Tickets — all live. A CRM screen (leads / opportunities / pipeline / activities), a Quotations screen and Sales commissions / targets would extend it.</w:t>
      </w:r>
    </w:p>
    <w:p>
      <w:pPr>
        <w:pStyle w:val="Heading1"/>
      </w:pPr>
      <w:r>
        <w:t>90. Implementation Status Update 76 (1 September 2026) — Procurement &amp; Purchasing Feature Section</w:t>
      </w:r>
    </w:p>
    <w:p>
      <w:pPr>
        <w:pStyle w:val="BodyText"/>
      </w:pPr>
      <w:r>
        <w:t>An administrator asked that a “Procurement and Purchasing” section be recorded, covering purchase requisitions, purchase orders, supplier quotations, requests for quotations, supplier comparison, purchase approvals, goods received notes, supplier invoices, purchase returns, procurement budgets and procurement reports, together with the end-to-end procurement workflow: Employee / Department Request → Department Approval → Procurement → Supplier Quotations → Evaluation → Management Approval → Purchase Order → Delivery → Inspection → Invoice → Payment.</w:t>
      </w:r>
    </w:p>
    <w:p>
      <w:pPr>
        <w:pStyle w:val="BodyText"/>
      </w:pPr>
      <w:r>
        <w:t>There is no dedicated Procurement module in MBMS — it has been a deliberately deferred Phase-2 area since the discovery pass — but the tail of the workflow and the supplier master are built. Suppliers are a first-class record (Supplier, /suppliers CRUD with blacklist / unblacklist and a sensitive-fields grant). On the payables side, a SupplierInvoice moves draft → pending_approval → approved → paid via /ap/invoices/:id/submit-for-approval and /approve (ap.approve, and approving it posts the balanced journal entry), plus supplier payments, supplier credit notes, an AP aging report, a supplier statement and a payment schedule. So supplier invoices are fully built, invoice approval is built, a purchase return is recorded today as a supplier credit note, and a procurement budget is a Budget line on the relevant expense or asset account with budget-vs-actual. The end-to-end procurement workflow is already documented in 05_Business Process Document (Section 6.5); only its Invoice → Payment tail is implemented.</w:t>
      </w:r>
    </w:p>
    <w:p>
      <w:pPr>
        <w:pStyle w:val="BodyText"/>
      </w:pPr>
      <w:r>
        <w:t>Net-new on the backlog: a Purchase Requisition with a department-approval step; a Request for Quotation sent to multiple suppliers; Supplier Quotations with a side-by-side comparison and an evaluation / award step; a Purchase Order with a management-approval chain; a Goods Received Note and an inspection step at delivery (no inbound-goods or inventory model exists); a Purchase Return / debit-note flow distinct from a supplier credit note; a three-way match (PO → GRN → invoice); and procurement-specific budgets and reports (spend by supplier / category, PO and requisition status, commitment vs. actual). This update adds the specification / status record only — no code, schema, endpoint or permission change; the supplier master and Accounts Payable are unchanged.</w:t>
      </w:r>
    </w:p>
    <w:p>
      <w:pPr>
        <w:pStyle w:val="Heading2"/>
      </w:pPr>
      <w:r>
        <w:t>Impact on this document</w:t>
      </w:r>
    </w:p>
    <w:p>
      <w:pPr>
        <w:pStyle w:val="BodyText"/>
      </w:pPr>
      <w:r>
        <w:t>Admin — this is the FINANCIAL &amp; ACCOUNTING category's Suppliers and Accounts Payable screens (supplier.manage, ap.manage / ap.approve). A Procurement area (requisitions, RFQs, POs, GRNs) with the department- and management-approval chain would be a new set of screens.</w:t>
      </w:r>
    </w:p>
    <w:p>
      <w:pPr>
        <w:pStyle w:val="Heading1"/>
      </w:pPr>
      <w:r>
        <w:t>91. Implementation Status Update 77 (1 September 2026) — Supplier Management Feature Section</w:t>
      </w:r>
    </w:p>
    <w:p>
      <w:pPr>
        <w:pStyle w:val="BodyText"/>
      </w:pPr>
      <w:r>
        <w:t>An administrator asked that a “Supplier Management” section be recorded, covering supplier registration, supplier profiles, supplier categories, supplier contacts, supplier contracts, supplier documents, tax information, bank details, supplier evaluation, supplier performance, supplier payment history, supplier statements and supplier blacklist / suspension.</w:t>
      </w:r>
    </w:p>
    <w:p>
      <w:pPr>
        <w:pStyle w:val="BodyText"/>
      </w:pPr>
      <w:r>
        <w:t>The supplier master is already built. A Supplier is a first-class record (name, category, contact email / phone, address, tax id, a contract reference and expiry date, bank name and bank account number, and a status of active / inactive / blacklisted), registered via POST /suppliers (supplier.manage, audited), edited via PATCH /suppliers/:id, listed and filtered by category, and blacklisted / un-blacklisted through POST /suppliers/:id/blacklist and /unblacklist. Tax information and bank details are held on the record, with the bank account number masked unless the caller holds supplier.view.sensitive. Supplier payment history and supplier statements are built on the payables side — GET /api/v1/ap/statement returns a chronological invoice / payment / credit-note ledger with a running balance for a given supplier. So of the requested list, registration, profiles, categories, tax information, bank details, payment history, statements and blacklist are live.</w:t>
      </w:r>
    </w:p>
    <w:p>
      <w:pPr>
        <w:pStyle w:val="BodyText"/>
      </w:pPr>
      <w:r>
        <w:t>Gaps against the requested list: a multi-contact list per supplier (only one email / phone today); supplier contracts and supplier documents as uploaded, versioned files with a lifecycle (today only a text contract reference and expiry date — the same deferred object-storage gap this project has carried for company logos and employee documents); a dedicated time-bound suspension distinct from blacklist and the inactive status; and supplier evaluation and supplier performance — a scorecard for on-time delivery, quality and price, and a rating history — neither of which is modelled. This update adds the specification / status record only — no code, schema, endpoint or permission change; the supplier master is unchanged.</w:t>
      </w:r>
    </w:p>
    <w:p>
      <w:pPr>
        <w:pStyle w:val="Heading2"/>
      </w:pPr>
      <w:r>
        <w:t>Impact on this document</w:t>
      </w:r>
    </w:p>
    <w:p>
      <w:pPr>
        <w:pStyle w:val="BodyText"/>
      </w:pPr>
      <w:r>
        <w:t>Admin — this is the FINANCIAL &amp; ACCOUNTING category's Suppliers screen (supplier.manage / supplier.viewAll, supplier.view.sensitive for unmasked bank / tax). Contact, document, contract, suspension and evaluation panels would extend it.</w:t>
      </w:r>
    </w:p>
    <w:p>
      <w:pPr>
        <w:pStyle w:val="Heading1"/>
      </w:pPr>
      <w:r>
        <w:t>92. Implementation Status Update 78 (1 September 2026) — Supplier Management: Contacts, Suspension &amp; Evaluation</w:t>
      </w:r>
    </w:p>
    <w:p>
      <w:pPr>
        <w:pStyle w:val="BodyText"/>
      </w:pPr>
      <w:r>
        <w:t>An administrator asked to implement the Supplier Management backlog recorded in the previous update — specifically a multi-contact list per supplier, a time-bound suspension distinct from blacklist, and supplier evaluation and performance. This has now shipped as code.</w:t>
      </w:r>
    </w:p>
    <w:p>
      <w:pPr>
        <w:pStyle w:val="BodyText"/>
      </w:pPr>
      <w:r>
        <w:t>Schema and migration 20260901130000_supplier_management add two tables and extend the supplier record. supplier_contacts holds several named people per supplier (name, title, email, phone, an is_primary flag and a free-text note); the service keeps at most one primary contact, demoting any previous primary when a new one is set. supplier_evaluations is a periodic scorecard: a period label, five criterion scores from 1 to 5 (on-time delivery, goods / service quality, price competitiveness, communication / responsiveness and documentation / terms compliance), an overall score that is their average, optional comments and the evaluating user. The SupplierStatus enum gains a suspended value, and suppliers gains suspension_reason and suspended_until columns.</w:t>
      </w:r>
    </w:p>
    <w:p>
      <w:pPr>
        <w:pStyle w:val="BodyText"/>
      </w:pPr>
      <w:r>
        <w:t>New endpoints sit under the existing supplier.manage / supplier.viewAll permissions (supplier.view.sensitive still governs unmasked bank / tax fields — no new permission was added). GET / POST /api/v1/suppliers/:id/contacts and PATCH / DELETE /api/v1/suppliers/:id/contacts/:contactId manage the contact list. POST /api/v1/suppliers/:id/suspend takes a reason and an optional auto-lift date and sets the status to suspended; POST /api/v1/suppliers/:id/unsuspend clears it. It refuses to suspend a blacklisted supplier (409) - un-blacklist first - and a suspension whose suspended_until date has passed lifts itself automatically the next time the record is read. GET / POST /api/v1/suppliers/:id/evaluations and DELETE /api/v1/suppliers/:id/evaluations/:evaluationId manage scorecards. GET /api/v1/suppliers/:id/performance returns a derived summary: evaluation count, overall average, a rating band (Excellent / Good / Fair / Poor), a trend against the previous scorecard (improving / declining / flat), per-criterion averages, and accounts-payable figures for the supplier (invoice count, paid and overdue counts, total invoiced, total paid and outstanding). There is no performance table - it is computed on request from the evaluations plus the supplier's AP invoice history.</w:t>
      </w:r>
    </w:p>
    <w:p>
      <w:pPr>
        <w:pStyle w:val="BodyText"/>
      </w:pPr>
      <w:r>
        <w:t>Every mutation is audited (supplier.contact.created / updated / deleted, supplier.evaluation.created / deleted, and supplier.record.updated for suspend / unsuspend), with bank and tax values kept out of event payloads as before. All routes are company-scoped exactly like the existing GET /suppliers/:id. The admin Suppliers screen now opens a supplier detail dialog from the supplier name with Contacts, Evaluations and Performance tabs and a Suspend / Lift-suspension control; add-contact, new-evaluation (1-5 sliders with a live overall) and suspend (reason + auto-lift date) dialogs are included, and the list shows a suspended badge with the lift date. Seed data adds three contacts and two quarterly scorecards (Q1 and Q2 2026) for AgroChem Uganda Ltd so the screen and the performance summary are populated on a fresh database.</w:t>
      </w:r>
    </w:p>
    <w:p>
      <w:pPr>
        <w:pStyle w:val="BodyText"/>
      </w:pPr>
      <w:r>
        <w:t>Still on the backlog: supplier contracts and supplier documents as uploaded, versioned files — the same deferred object-storage gap this project carries for company logos and employee documents. Verified end to end: seeded contacts and evaluations read back; adding a primary contact demotes the previous one; suspend then unsuspend; a new scorecard moves the performance average and trend; suspend on a blacklisted supplier returns 409; a caller without supplier.manage gets 403 on every mutation. nest build and the admin vite build are clean.</w:t>
      </w:r>
    </w:p>
    <w:p>
      <w:pPr>
        <w:pStyle w:val="Heading2"/>
      </w:pPr>
      <w:r>
        <w:t>Impact on this document</w:t>
      </w:r>
    </w:p>
    <w:p>
      <w:pPr>
        <w:pStyle w:val="BodyText"/>
      </w:pPr>
      <w:r>
        <w:t>Admin — the FINANCIAL &amp; ACCOUNTING category's Suppliers screen now has a detail dialog (Contacts / Evaluations / Performance tabs, Suspend control). Permissions are unchanged: supplier.manage to edit, supplier.viewAll for group-wide visibility, supplier.view.sensitive for unmasked bank / tax. Suspend is blocked on a blacklisted supplier.</w:t>
      </w:r>
    </w:p>
    <w:p>
      <w:pPr>
        <w:pStyle w:val="Heading1"/>
      </w:pPr>
      <w:r>
        <w:t>93. Implementation Status Update 79 (1 September 2026) — Inventory Management: Warehouses, Transfers, Batch / Serial Tracking &amp; Reports</w:t>
      </w:r>
    </w:p>
    <w:p>
      <w:pPr>
        <w:pStyle w:val="BodyText"/>
      </w:pPr>
      <w:r>
        <w:t>An administrator asked to add and implement an “Inventory Management” section covering product registration, categories, codes, barcodes and units of measure; stock locations and warehouses; stock receipts, issues, transfers, adjustments, returns and counts; stock valuation; re-order / minimum / maximum stock levels; expiry-date, batch and serial-number tracking; and inventory reports (stock balance, stock movement, fast- / slow-moving, dead stock, valuation, shortage, surplus). Product registration / categories / codes / barcodes / units of measure were already built in the Product service, and a company-level Inventory section (stock-on-hand, a re-order point, receipt / issue / count adjustments and an immutable movement ledger) shipped on 28 August 2026. This pass builds the rest.</w:t>
      </w:r>
    </w:p>
    <w:p>
      <w:pPr>
        <w:pStyle w:val="BodyText"/>
      </w:pPr>
      <w:r>
        <w:t>Migration 20260901140000_inventory_management adds warehouses (one company may have several stock sites; each has a code, a name, an optional Branch link and an active flag, with exactly one marked the default), stock_locations (bins / aisles / racks within a warehouse, descriptive in this phase), stock_balances (on-hand of one product in one warehouse; the sum over a product’s rows equals Product.stockQuantity, the company roll-up the storefront and Orders still read), stock_batches (a batch number and an optional expiry date per batch-tracked product) and stock_serials (one row per serial-numbered unit, status in_stock / issued / returned / scrapped). Product gains min_stock_level, max_stock_level, track_batches and track_serials; StockMovement gains warehouse_id, counterparty_warehouse_id and batch_number; the StockMovementType enum gains adjustment, transfer_out, transfer_in and return. The MAIN-warehouse creation and the balance backfill from the existing roll-up run in prisma/seed.ts (and lazily in the service), keeping the migration DDL-only per this project’s convention.</w:t>
      </w:r>
    </w:p>
    <w:p>
      <w:pPr>
        <w:pStyle w:val="BodyText"/>
      </w:pPr>
      <w:r>
        <w:t>New endpoints sit under /api/v1/inventory, reads scoped per BR-01 like the product list and writes gated by product.manage — the same permission the existing section uses, so no new permission was added. Warehouses: GET / POST /inventory/warehouses, PATCH /inventory/warehouses/:id, GET / POST /inventory/warehouses/:id/locations, PATCH /inventory/locations/:locationId. Stock moves: POST /inventory/adjustments now takes an optional warehouseId (defaulting to MAIN) plus an optional batch number / expiry date on a receipt and an optional serial-number list on a receipt or issue; POST /inventory/transfers moves quantity between two warehouses of the same company as a paired transfer_out / transfer_in (the roll-up is unchanged); POST /inventory/returns books goods back into a warehouse. GET /inventory/balances lists a product’s per-warehouse rows; PUT /inventory/products/:id/stock-levels sets the re-order point, minimum and maximum together with the batch / serial flags (the older /reorder-point route is kept). GET /inventory/batches and GET /inventory/serials list the tracking rows.</w:t>
      </w:r>
    </w:p>
    <w:p>
      <w:pPr>
        <w:pStyle w:val="BodyText"/>
      </w:pPr>
      <w:r>
        <w:t>Eight reports are exposed at GET /inventory/reports/*: stock-balance (per product, with a per-warehouse breakdown), stock-movement (a date-ranged ledger), movement-analysis (fast-moving, slow-moving and dead-stock buckets from issue volume over a window), valuation (quantity × unit price, per warehouse and total), shortage (on-hand below the minimum, or below the re-order point where no minimum is set), surplus (on-hand above the maximum) and expiring (batches already expired or within N days of expiry). Every mutation is audited (inventory.warehouse.*, inventory.location.*, inventory.stock.adjusted / transferred / returned, inventory.stock_levels.updated). The admin Inventory screen gains Warehouses and Reports tabs, a warehouse filter and min / max columns on the stock list, Transfer / Return / Levels actions per row, a warehouse selector plus batch and serial fields on the adjust dialog, and a date range on the movement ledger. Seed data adds a MAIN warehouse for every company that holds stock, a second Agro warehouse (Kira Dispatch Store) with two locations, minimum / maximum levels on five products, a batch-tracked herbicide with two batches (one near expiry), a serial-tracked pallet with three units, and a demo MAIN → Kira transfer.</w:t>
      </w:r>
    </w:p>
    <w:p>
      <w:pPr>
        <w:pStyle w:val="BodyText"/>
      </w:pPr>
      <w:r>
        <w:t>Every requested feature now maps to something running: product registration / categories / codes / barcodes / units of measure (Product service), stock locations and warehouses, receipts / issues / transfers / adjustments / returns / counts, stock valuation, re-order / minimum / maximum levels, expiry-date / batch / serial tracking, and all eight named reports. Verified end to end: warehouses created per company; a transfer leaves the roll-up unchanged while both warehouse balances move; over-issue and over-transfer return 409; the shortage / surplus / expiring reports pick up the seeded thresholds and batches; a serial receipt then issue flips the unit status; a caller without product.manage gets 403 on every write. nest build, admin vite build and the OpenAPI regeneration are clean.</w:t>
      </w:r>
    </w:p>
    <w:p>
      <w:pPr>
        <w:pStyle w:val="Heading2"/>
      </w:pPr>
      <w:r>
        <w:t>Impact on this document</w:t>
      </w:r>
    </w:p>
    <w:p>
      <w:pPr>
        <w:pStyle w:val="BodyText"/>
      </w:pPr>
      <w:r>
        <w:t>Admin — this is the INVENTORY category’s Inventory screen, now with Warehouses and Reports tabs. Permissions are unchanged: product.manage to move stock or edit warehouses / levels, product.viewAll for group-wide visibility. The default warehouse cannot be deactivated.</w:t>
      </w:r>
    </w:p>
    <w:p>
      <w:pPr>
        <w:pStyle w:val="Heading1"/>
      </w:pPr>
      <w:r>
        <w:t>94. Implementation Status Update 80 (1 September 2026) — Warehouse Management: Staff, Receiving, Picking / Packing / Dispatch &amp; Count Reconciliation</w:t>
      </w:r>
    </w:p>
    <w:p>
      <w:pPr>
        <w:pStyle w:val="BodyText"/>
      </w:pPr>
      <w:r>
        <w:t>An administrator asked to add and implement a “Warehouse Management” section covering multiple warehouses, warehouse locations, bin management, receiving, picking, packing, dispatch, stock transfers, warehouse staff management, warehouse stock counts, barcode scanning and inventory reconciliation. Multiple warehouses, warehouse locations and stock transfers were built earlier the same day in the Inventory Management pass; this pass adds the warehouse operations layer on top.</w:t>
      </w:r>
    </w:p>
    <w:p>
      <w:pPr>
        <w:pStyle w:val="BodyText"/>
      </w:pPr>
      <w:r>
        <w:t>Migration 20260901150000_warehouse_management adds warehouse_staff (an Employee assigned to a warehouse with a role of manager / supervisor / receiver / picker / packer / dispatcher), goods_receipts + goods_receipt_lines (an inbound receiving document: draft → received → cancelled; each line names a product, a quantity and an optional batch / expiry / bin), pick_lists + pick_list_lines (a fulfilment job: pending → picking → picked → packed → dispatched, optionally tied to a sales Order whose items become the lines) and stock_counts + stock_count_lines (a physical count session: open → counting → reconciled, each line snapshotting the system quantity, recording the counted quantity and the variance). Stock locations gain a functional kind (receiving / storage / picking / packing / dispatch / quarantine), so a bin has a role in the flow. All of it reuses product.manage / product.viewAll — no new permission — and the seeded Warehouse Manager role now holds product.manage so that persona can run the floor.</w:t>
      </w:r>
    </w:p>
    <w:p>
      <w:pPr>
        <w:pStyle w:val="BodyText"/>
      </w:pPr>
      <w:r>
        <w:t>New endpoints under /api/v1/inventory (reads scoped per BR-01, writes gated by product.manage): GET / POST /inventory/warehouses/:id/staff and PATCH / DELETE /inventory/warehouse-staff/:id manage staff. GET / POST /inventory/goods-receipts, GET /inventory/goods-receipts/:id, POST .../:id/receive (books a receipt stock movement per line, updating the warehouse balance, the company roll-up and any batch), POST .../:id/cancel. GET / POST /inventory/pick-lists, GET /inventory/pick-lists/:id, POST .../:id/assign, POST .../:id/pick (issues the picked quantity from the warehouse, with a 409 if stock is short), POST .../:id/pack, POST .../:id/dispatch (which also nudges a linked order to packed / out_for_delivery), POST .../:id/cancel (returning already-picked stock). GET / POST /inventory/stock-counts, GET /inventory/stock-counts/:id, POST .../:id/lines, PATCH .../:id/lines/:lineId (record a counted quantity), POST .../:id/reconcile (posts a count adjustment for every line whose count differs from the system figure and writes the variance), POST .../:id/cancel. GET /inventory/lookup?barcode= returns the matching product and its per-warehouse balances, and a goods-receipt / pick-list / stock-count line may be entered by barcode instead of product id.</w:t>
      </w:r>
    </w:p>
    <w:p>
      <w:pPr>
        <w:pStyle w:val="BodyText"/>
      </w:pPr>
      <w:r>
        <w:t>Every mutation is audited (inventory.warehouse_staff.*, inventory.goods_receipt.created / received / cancelled, inventory.pick_list.created / assigned / picked / packed / dispatched / cancelled, inventory.stock_count.created / reconciled / cancelled) and every stock effect goes through the same per-warehouse balance / roll-up / movement path the Inventory Management pass built, so on-hand stays explainable. The admin Inventory screen gains a Warehouse ops tab with Staff, Goods receipts, Pick lists and Stock counts sub-views, and the Warehouses tab’s location panel now shows and sets a bin’s kind. Seed data adds a Warehouse Manager login (William Opio, w.opio@morise-holdings.com), warehouse staff for Morise Agro Ltd’s MAIN warehouse (a manager, a picker / packer and a receiver), five functional bins (receiving / storage / packing / dispatch / quarantine), a draft goods receipt against AgroChem Uganda Ltd, a pending pick list built from a confirmed storefront order, and an open cycle-count session.</w:t>
      </w:r>
    </w:p>
    <w:p>
      <w:pPr>
        <w:pStyle w:val="BodyText"/>
      </w:pPr>
      <w:r>
        <w:t>Every requested feature now maps to something running: multiple warehouses, warehouse locations and stock transfers (Inventory Management pass), bin management (functional bins), receiving (goods receipts), picking / packing / dispatch (pick lists), warehouse staff management, warehouse stock counts and inventory reconciliation (stock counts), and barcode scanning (barcode lookup + line entry). Verified end to end: receiving a draft goods receipt raises the warehouse balance and the roll-up; a pick list runs pending → picked (stock issued) → packed → dispatched and carries a linked order to out_for_delivery; re-dispatching or re-receiving returns 409; a stock count reconciles, writing the variance and posting the count adjustment; a barcode resolves to its product; a caller without product.manage gets 403 on every write. nest build, admin vite build and the OpenAPI regeneration (317 paths / 401 operations) are clean.</w:t>
      </w:r>
    </w:p>
    <w:p>
      <w:pPr>
        <w:pStyle w:val="Heading2"/>
      </w:pPr>
      <w:r>
        <w:t>Impact on this document</w:t>
      </w:r>
    </w:p>
    <w:p>
      <w:pPr>
        <w:pStyle w:val="BodyText"/>
      </w:pPr>
      <w:r>
        <w:t>Admin — the INVENTORY category’s Inventory screen gains a Warehouse ops tab. Permissions unchanged: product.manage to run operations, product.viewAll for group-wide visibility. The Warehouse Manager role now holds product.manage. Login: w.opio@morise-holdings.com / the demo password.</w:t>
      </w:r>
    </w:p>
    <w:p>
      <w:pPr>
        <w:pStyle w:val="Heading1"/>
      </w:pPr>
      <w:r>
        <w:t>95. Implementation Status Update 81 (2 September 2026) — Asset Management: Categories, Inspections, Insurance &amp; Asset History</w:t>
      </w:r>
    </w:p>
    <w:p>
      <w:pPr>
        <w:pStyle w:val="BodyText"/>
      </w:pPr>
      <w:r>
        <w:t>An administrator asked to add and implement an “Asset Management” section for every asset owned by Multi Holdings and its subsidiaries, covering asset registration, categories, asset numbers, location, custodian, purchase information, supplier information, asset value, depreciation, transfer, maintenance, disposal, inspection, insurance, documents and history (examples: vehicles, buildings, computers, machinery, furniture, equipment, land, office equipment). The Sprint-11 Asset Service already covered registration, asset numbers, location (branch), custodian, purchase date / cost, straight-line depreciation with GL posting, asset value (net book value), transfer (including cross-company), maintenance logging, and the request → approve → dispose workflow with a derecognition entry. This pass builds the rest.</w:t>
      </w:r>
    </w:p>
    <w:p>
      <w:pPr>
        <w:pStyle w:val="BodyText"/>
      </w:pPr>
      <w:r>
        <w:t>Migration 20260902120000_asset_management adds asset_categories (a first-class category with a code, a name and depreciation defaults — method, useful life in years, salvage as a percentage of cost — that a newly-registered asset inherits unless the registration overrides them); asset_inspections (a periodic condition inspection: date, inspector, a condition rating of excellent / good / fair / poor / unserviceable, findings, action required and a next-due date, distinct from the one-off inspection notes inside the disposal workflow); asset_insurance_policies (a first-class policy: insurer, policy number, cover amount, premium, term and a status of active / expired / cancelled, superseding the three inline insurer / policy-number / expiry fields, which are kept in step with the latest policy for backward compatibility); and asset_events (an append-only asset-history row written by every lifecycle action). The Asset record itself gains category_id, supplier_id (a link to the Supplier master), purchase_reference (PO / invoice number) and warranty_expiry_date.</w:t>
      </w:r>
    </w:p>
    <w:p>
      <w:pPr>
        <w:pStyle w:val="BodyText"/>
      </w:pPr>
      <w:r>
        <w:t>New endpoints sit under the existing asset.manage / asset.viewAll / asset.approve.disposal permissions — no new permission. GET / POST /assets/categories and PATCH /assets/categories/:id manage categories. GET / POST /assets/:id/inspections record and list inspections. GET / POST /assets/:id/insurance and PATCH /assets/insurance/:policyId manage insurance policies. GET /assets/:id/history returns the chronological event timeline. Four reports are exposed at GET /assets/reports/*: register (the fixed-asset register — cost, accumulated depreciation, net book value, category, custodian, location, per asset with totals), depreciation-schedule (per straight-line asset: annual charge, accumulated, NBV, years remaining), insurance-expiring (policies already expired or within N days of expiry) and inspections-due (assets whose next inspection date has passed or falls within N days). Registration also auto-generates the asset number as AST-YYYY-NNNN when one is not supplied, and inherits the category's depreciation defaults.</w:t>
      </w:r>
    </w:p>
    <w:p>
      <w:pPr>
        <w:pStyle w:val="BodyText"/>
      </w:pPr>
      <w:r>
        <w:t>Every lifecycle action — registration, record update, transfer, depreciation, maintenance, inspection, insurance add / update, and each disposal step — now writes an asset_events row, so GET /assets/:id/history is a single chronological read rather than six tables stitched together. Every mutation is also audited as before (asset.category.created / updated, asset.inspection.recorded, asset.insurance.added / updated). The admin Assets screen gains a Categories manager, and each asset opens a detail dialog with Overview, Inspections, Insurance and History tabs; the registration form gains a category picker, supplier / purchase-reference / warranty fields and an optional (auto-generated) asset number. Seed data adds eight asset categories for Morise Agro Ltd (Vehicles, Buildings, Computers, Machinery, Furniture, Equipment, Land, Office Equipment) with depreciation defaults, links the three seeded assets to a category / supplier / purchase reference, backfills their history events, and adds an inspection and a first-class insurance policy on the Toyota Hilux.</w:t>
      </w:r>
    </w:p>
    <w:p>
      <w:pPr>
        <w:pStyle w:val="BodyText"/>
      </w:pPr>
      <w:r>
        <w:t>Asset documents remain a text document_reference on the record — the same deferred object-storage gap this project carries for company logos, employee documents and supplier contracts. Verified end to end: a category's defaults flow into a new asset; the asset number auto-generates; the history timeline shows registration, inspection and insurance events in order; the register and depreciation-schedule reports total correctly; the insurance-expiring and inspections-due reports pick up the seeded policy and a new inspection; a caller without asset.manage gets 403 on every write. nest build, admin vite build and the OpenAPI regeneration (327 paths / 414 operations) are clean.</w:t>
      </w:r>
    </w:p>
    <w:p>
      <w:pPr>
        <w:pStyle w:val="Heading2"/>
      </w:pPr>
      <w:r>
        <w:t>Impact on this document</w:t>
      </w:r>
    </w:p>
    <w:p>
      <w:pPr>
        <w:pStyle w:val="BodyText"/>
      </w:pPr>
      <w:r>
        <w:t>Admin — the FINANCIAL &amp; ACCOUNTING category's Assets screen gains a Categories manager and a per-asset detail dialog. Permissions unchanged: asset.manage to register / edit / inspect / insure, asset.approve.disposal for the disposal steps, asset.viewAll for group-wide visibility.</w:t>
      </w:r>
    </w:p>
    <w:p>
      <w:pPr>
        <w:pStyle w:val="Heading1"/>
      </w:pPr>
      <w:r>
        <w:t>96. Implementation Status Update 82 (2 September 2026) — Fleet &amp; Vehicle Management Module</w:t>
      </w:r>
    </w:p>
    <w:p>
      <w:pPr>
        <w:pStyle w:val="BodyText"/>
      </w:pPr>
      <w:r>
        <w:t>An administrator asked to add and implement a “Fleet and Vehicle Management” section covering vehicle registration, vehicle ownership, driver assignment, vehicle tracking, fuel management, mileage, service schedules, repairs, insurance, inspection, licence renewal, accident records, vehicle expenses and fuel-consumption reports. This ships as a new Fleet module, a fleet register that sits on top of — and optionally links to — the Asset module (a vehicle asset already carries purchase cost, depreciation, first-class insurance policies and periodic inspections from the Asset Management pass).</w:t>
      </w:r>
    </w:p>
    <w:p>
      <w:pPr>
        <w:pStyle w:val="BodyText"/>
      </w:pPr>
      <w:r>
        <w:t>Migration 20260902130000_fleet_management adds vehicles (registration number unique per company, make / model / year / VIN / colour, fuel type, ownership type of owned / leased / financed / hired with an owner name for a lessor or financier, acquisition date, current odometer, a manual last-known-location, status of active / in_service / off_road / sold / written_off, and an optional 1:1 link to an Asset) plus eight child tables: vehicle_driver_assignments (one active per vehicle, the previous auto-ended on reassignment), vehicle_odometer_readings (the mileage history — also written from fuel and service entries), fuel_logs (date, litres, cost, odometer, station, filled-to-full flag), service_schedules (an interval in km and/or days with a computed next-due odometer and date), service_records (kind service or repair, tied optionally to a schedule which it then advances), vehicle_renewals (road licence, inspection certificate, PSV permit, insurance, road worthiness or other, with a reference, expiry date and cost), accident_records (severity, description, driver, third-party flag, estimated cost, insurance-claim and police-report references, resolved flag) and vehicle_expenses (a rolled-up log — a fuel log, a service / repair record and a paid renewal each auto-create a matching expense line, and manual lines can be added).</w:t>
      </w:r>
    </w:p>
    <w:p>
      <w:pPr>
        <w:pStyle w:val="BodyText"/>
      </w:pPr>
      <w:r>
        <w:t>A new fleet.manage / fleet.viewAll permission pair is added (domain operations) and granted the same way delivery.* was: manage + viewAll to Super Administrator, Managing Director, IT Administrator and Operations Manager; manage (own scope) to Branch Manager and the Warehouse Manager; viewAll to Group CEO, Auditor, External Auditor, Board Member and the Read-only User. Endpoints sit under /api/v1/fleet: GET / POST /fleet/vehicles, GET / PATCH /fleet/vehicles/:id, GET /fleet/vehicles/:id/summary, POST /fleet/vehicles/:id/location; GET / POST /fleet/vehicles/:id/assignments and POST /fleet/assignments/:id/end; GET / POST /fleet/vehicles/:id/odometer and .../fuel; GET / POST /fleet/vehicles/:id/service-schedules, PATCH /fleet/service-schedules/:id, GET / POST /fleet/vehicles/:id/service-records; GET / POST /fleet/vehicles/:id/renewals; GET / POST /fleet/vehicles/:id/accidents and PATCH /fleet/accidents/:id; GET / POST /fleet/vehicles/:id/expenses.</w:t>
      </w:r>
    </w:p>
    <w:p>
      <w:pPr>
        <w:pStyle w:val="BodyText"/>
      </w:pPr>
      <w:r>
        <w:t>Five reports are exposed at GET /fleet/reports/*: fleet-register (every vehicle with its key attributes and odometer), fuel-consumption (per vehicle: fills, litres, cost, distance from consecutive full-to-full fills, L/100km, km/L and cost/km, with a date range), expenses (per vehicle and per category totals with cost/km, date-ranged), renewals-due (renewals already expired or within N days of expiry) and service-due (schedules past their next-due odometer or date). GET /fleet/vehicles/:id/summary rolls these up for one vehicle — active driver, services due, next renewal, year-to-date expense by category and lifetime fuel economy. Every mutation is audited (fleet.vehicle.registered / updated, fleet.driver.assigned, fleet.fuel.logged, fleet.odometer.logged, fleet.service.recorded / repair.recorded, fleet.renewal.recorded, fleet.accident.recorded / updated, fleet.expense.recorded).</w:t>
      </w:r>
    </w:p>
    <w:p>
      <w:pPr>
        <w:pStyle w:val="BodyText"/>
      </w:pPr>
      <w:r>
        <w:t>Live GPS telematics is out of scope — “vehicle tracking” here is the odometer history plus a manual last-known-location. Vehicle inspection and insurance are covered by the linked asset’s AssetInspection / AssetInsurancePolicy records (Asset Management pass, 2 September 2026); the fleet module adds the statutory renewals a vehicle also needs. The admin app gains a new Fleet screen (nav entry under Admin / Backend, route /fleet, gated on fleet.manage / fleet.viewAll) with a vehicle register, a per-vehicle detail dialog (Summary / Drivers / Fuel / Odometer / Service / Renewals / Accidents / Expenses tabs) and a Reports tab. Seed data adds three vehicles for Morise Agro Ltd (the Toyota Hilux linked to asset AST-0001, an Isuzu FRR truck and a leased Toyota HiAce), a driver assignment, three fuel logs, a service schedule with a completed service, a repair, three renewals (one expired), an unresolved accident and the matching vehicle-expense lines. Verified end to end: fuel economy computes from full-to-full fills; a scheduled service advances the schedule’s next-due; reassigning a driver auto-ends the previous assignment; the fuel-consumption / expenses / renewals-due / service-due reports total correctly; a caller without fleet.manage gets 403 on every write while the Warehouse Manager (granted fleet.manage) can register a vehicle. nest build, admin vite build and the OpenAPI regeneration (347 paths / 444 operations) are clean.</w:t>
      </w:r>
    </w:p>
    <w:p>
      <w:pPr>
        <w:pStyle w:val="Heading2"/>
      </w:pPr>
      <w:r>
        <w:t>Impact on this document</w:t>
      </w:r>
    </w:p>
    <w:p>
      <w:pPr>
        <w:pStyle w:val="BodyText"/>
      </w:pPr>
      <w:r>
        <w:t>Admin — a new Fleet screen under the ADMIN / BACKEND category (route /fleet), gated on the new fleet.manage (write) / fleet.viewAll (group-wide read). The grant map: operational leads get both; Branch Manager and Warehouse Manager get manage (own scope); the oversight roles get viewAll.</w:t>
      </w:r>
    </w:p>
    <w:p>
      <w:pPr>
        <w:pStyle w:val="Heading1"/>
      </w:pPr>
      <w:r>
        <w:t>97. Implementation Status Update 83 (2 September 2026) — Remaining Feature Catalogue (Sections 17-57) &amp; Notifications and Alerts</w:t>
      </w:r>
    </w:p>
    <w:p>
      <w:pPr>
        <w:pStyle w:val="BodyText"/>
      </w:pPr>
      <w:r>
        <w:t>An administrator asked to add, update and implement the remaining feature specification — sections 17 through 57 of the master requirements. This is a catalogue of ~40 areas spanning Project, Contract, Legal and Document Management; Approval Workflow; Expense, Loan, Investment and Shareholding Management; Board &amp; Corporate Governance; Customer Support; Communication; Marketing; Business Intelligence &amp; Reporting; Audit Management; the System Audit Trail; Tax and Multi-Currency Management; Multi-Branch and Inter-Company Transactions; Consolidated Financial Management; role-based BI Dashboards; Notifications &amp; Alerts; Mobile Access; Security; Backup &amp; Disaster Recovery; Integrations; API Management; Configuration &amp; Administration; Search &amp; Filtering; Data Import/Export; Workflow &amp; Automation; Business Process Management; Performance &amp; KPI Management; Compliance; Exit &amp; Employee Separation; Data Protection; the recommended System Architecture; the recommended module list; the group Key Advantage; and the phased development approach. This update records the whole block against the running system and ships one implementation from it.</w:t>
      </w:r>
    </w:p>
    <w:p>
      <w:pPr>
        <w:pStyle w:val="BodyText"/>
      </w:pPr>
      <w:r>
        <w:t>Already BUILT (with running code). Project Management — src/projects (registration, manager assignment, teams, tasks, task assignment, milestones, timelines, budget, profitability, status lifecycle; project cost = its paid expenses). Expense Management — src/expenses (claims, category, receipt reference, two-step manager/finance approval, payment posting a balanced journal entry). Customer Support — src/support (SupportTicket: category, priority, open→resolved, assignment). System Audit Trail — src/common/audit + GET /audit/logs + the PermissionsGuard recording every access_denied centrally; each row carries user, company, date/time, action, entity, previous and new value. Inter-Company Transactions — src/inter-company (loan / transfer / service-charge / cost-allocation, each posting two independently balanced journal entries) plus cross-company asset transfer. Consolidated Financial Management — ?consolidated=true income statement and balance sheet, management-accounts and budget-vs-actual across a holding company. Multi-Branch — the Branch entity with BR-01 branch scoping on employees, customers, products, warehouses, vehicles and assets, plus a branch-scoped dashboard. Business Intelligence &amp; Dashboards — src/dashboard (group and subsidiary financial position, monthly revenue / expense / profit-and-loss / cash-flow charts, company performance comparison, financial and operational alerts), src/finance overview, src/hr-dashboard, and the nine financial statements at /accounting/reports/*. Security — JWT + refresh tokens, a configurable password policy (FR-AUTH-04), account lockout / unlock, session refresh, role- plus company- / branch- / department-scoped permissions, direct grant/revoke on top of roles, delegated administration, and the audit trail. API Management — a generated OpenAPI / Swagger document (openapi.json, /api/v1/docs) covering 349 paths. Configuration &amp; Administration — company-specific policies, the role and permission catalogue, financial periods, and consistent document numbering (JE-, GRN-, PICK-, AST-, CNT- …). Workflow &amp; Automation — the sales, procurement / accounts-payable, employee-lifecycle, expense and contract-expiry workflows all exist as coded state machines. Performance &amp; KPI — src/performance (review cycles, objectives / KPIs, self- and manager assessment) plus the payroll bonus and the dashboard company comparison.</w:t>
      </w:r>
    </w:p>
    <w:p>
      <w:pPr>
        <w:pStyle w:val="BodyText"/>
      </w:pPr>
      <w:r>
        <w:t>PARTIAL (thin, or delivered through another entity). Contract Management — only a text contract reference and expiry date on the Supplier record, now surfaced in the alert feed; no first-class Contract entity for customer / employee / service / lease / partnership agreements, no renewal-reminder configuration, no contract documents / approvals / history. Investment Management and Shareholding Management — the holding structure is modelled (Company parent / subsidiary, relationship type subsidiary / associate, ownership percentage) but there is no Investment or Shareholder register, valuation, dividend or share-transfer handling. Tax Management — Uganda PAYE and NSSF are computed in payroll and VAT is carried on orders and invoices, but there is no tax-configuration module, no withholding tax, tax returns or reconciliation. Multi-Currency — a currency code is stored on orders, invoices and payables, but there is no exchange-rate table, conversion, FX gain/loss or multi-currency reporting. Approval Workflow — concrete approvals are built (expense two-step, AP invoice submit→approve, asset disposal request→approve→execute, leave) and are now aggregated as pending-approval alerts, but there is no configuration engine keyed by amount / department / branch / role. Communication and Marketing — an in-process notification service, the storefront newsletter and admin-managed FAQ / social links, discount codes, promo banners and CMS content pages exist; internal messaging, real email / SMS / push transport, and marketing campaigns / segmentation / leads / ROI do not. Search &amp; Filtering — every list endpoint takes filter[…] parameters, but there is no single global-search endpoint. Data Import / Export — reports export to CSV and PDF; there is no bulk Excel / CSV import. Mobile Access — both React apps use responsive layout, but there is no dedicated mobile client and some dense admin screens assume a desktop. Compliance and Data Protection — the expiry alerts, RBAC and scope access restrictions and masked sensitive fields are in place; a compliance register, checklists, field-level encryption at rest and a data-retention policy are not.</w:t>
      </w:r>
    </w:p>
    <w:p>
      <w:pPr>
        <w:pStyle w:val="BodyText"/>
      </w:pPr>
      <w:r>
        <w:t>PLANNED (no code yet). Legal Management — no legal-case, litigation, lawyer, permit / licence register or legal-deadline entities. Document Management — the project-wide object-storage gap: every “documents” feature (company logos, employee documents, supplier contracts, asset documents, project documents) is a text reference, not an upload / version / preview / signature store; there is no Document entity, versioning, digital signatures or a document-specific audit trail. Loan &amp; Financing Management — only the short-term SalaryAdvance (auto-recovered from payroll) exists; there is no loan facility, applications, repayment schedules, interest calculation or loan statements. Board &amp; Corporate Governance — no board-member, meeting, agenda, minutes, resolution, committee or voting entities. Audit Management — the audit TRAIL is built; audit MANAGEMENT (audit planning, internal / external audit engagements, findings, corrective actions, follow-ups) is not. Backup &amp; Disaster Recovery — only the Docker Postgres volume; no scheduled / cloud backup, replication, restore tooling or backup verification. Integration Features — none of the external integrations (banks, mobile money, payment gateways, real email / SMS gateways, tax systems, biometric devices, GPS / fleet telematics, cloud storage) are built; Google login and the Kafka event bus are seams only. Business Process Management — no workflow designer or configurable approval-level engine. Exit &amp; Employee Separation — an employment end date and status exist, but there is no resignation / termination / retirement workflow, exit interview, clearance checklist, final-pay or benefits calculation, or certificate generation.</w:t>
      </w:r>
    </w:p>
    <w:p>
      <w:pPr>
        <w:pStyle w:val="BodyText"/>
      </w:pPr>
      <w:r>
        <w:t>System Architecture (section 54) and phasing (section 57). The running stack already matches the recommendation's core — Node.js LTS, NestJS, Fastify, PostgreSQL, Redis, Prisma, REST / OpenAPI, JWT with refresh tokens, class-validator, Docker. The distributed pieces (a microservices split, Kafka event streaming, Jaeger / EFK tracing, Prometheus / Grafana, Ansible, Certbot, iRedMail, Zulip / Slack) are explicitly deferred: this proof-of-concept is a single modular NestJS service with the Kafka consumer seam stubbed (AuditService is called directly and synchronously), exactly as 07_System Design Document records. Against the phased approach: Phase 1 (Core) is complete; Phase 2 (Business Operations — sales, procurement, inventory, warehouse, expenses, assets, projects) is complete; Phase 3 (Advanced Finance — payroll incl. salary structures, budgeting, banking through the GL, inter-company, consolidated accounting) is largely complete, with loans, investments and a tax module the gaps; Phase 4 (Enterprise Management — HR is deep, CRM = the customer master plus support, BI is substantial) is partial, with contracts, legal, compliance, board management and document management outstanding; Phase 5 (Integration &amp; Security — the UI is responsive, OpenAPI is generated) is minimal, with API keys, integrations, 2FA, automated backup and disaster recovery all outstanding.</w:t>
      </w:r>
    </w:p>
    <w:p>
      <w:pPr>
        <w:pStyle w:val="BodyText"/>
      </w:pPr>
      <w:r>
        <w:t>IMPLEMENTED THIS PASS — Notifications &amp; Alerts (section 39). A new src/alerts module exposes GET /api/v1/alerts and GET /api/v1/alerts/summary: a single cross-module feed, derived at request time (no schema, no new permission, read-only) from eleven sources — accounts-receivable invoices overdue, accounts-payable invoices overdue, pending approvals (expense claims at the manager and finance step, supplier invoices, asset disposals and leave requests, as grouped counts), supplier contracts expiring or expired, vehicle statutory renewals due or expired, vehicle service schedules due (by date or by odometer), asset insurance policies expiring, asset inspections due, products below their minimum or reorder point (or out of stock), stock batches expiring, and projects nearing or past their planned end date. Each alert carries a severity (critical = already overdue / expired, warning = within the window, info), a category, the owning company, a title, a detail line, the linked entity, a date and an amount where relevant. The feed is filtered to the caller's company scope per BR-01 unless they hold organization.company.viewAll, takes a days window (default 30, up to 365), and accepts category and severity filters; /summary returns counts by severity and by category with an overdue-versus-upcoming split. The admin app gains an Alerts screen (navigation under Admin / Backend, route /alerts) with a severity KPI row, clickable category chips and a filterable table. Verified end to end against the seeded data (17 alerts across 8 categories, correctly ranked and scope-filtered); nest build and admin vite build clean; openapi.json regenerated (347 → 349 paths, 446 operations).</w:t>
      </w:r>
    </w:p>
    <w:p>
      <w:pPr>
        <w:pStyle w:val="Heading2"/>
      </w:pPr>
      <w:r>
        <w:t>Impact on this document</w:t>
      </w:r>
    </w:p>
    <w:p>
      <w:pPr>
        <w:pStyle w:val="BodyText"/>
      </w:pPr>
      <w:r>
        <w:t>Admin — a new Alerts screen sits under the ADMIN / BACKEND category (route /alerts), visible to any authenticated user and filtered to their scope — no new permission. Configuration &amp; Administration (section 45) is partially built (policies, roles, permissions, numbering, periods); a settings UI for currency / tax / email / SMS / workflow config is the gap.</w:t>
      </w:r>
    </w:p>
    <w:p>
      <w:pPr>
        <w:pStyle w:val="Heading1"/>
      </w:pPr>
      <w:r>
        <w:t>98. Implementation Status Update 84 (2 September 2026) — Final System Objective &amp; the Executive Answer Layer</w:t>
      </w:r>
    </w:p>
    <w:p>
      <w:pPr>
        <w:pStyle w:val="BodyText"/>
      </w:pPr>
      <w:r>
        <w:t>An administrator asked to add, update and implement the Final System Objective — the closing statement of the master specification. It states that the finished Morise Holdings Limited system should be a single centralized platform for managing the entire group while keeping proper separation between companies, branches, departments and users, and that it should let management answer a fixed set of seventeen questions: how much money the group has; which subsidiary makes the most profit; which is underperforming; how much each company owes suppliers; how much customers owe the group; what assets each company owns; how many employees the group has; how much is spent on salaries; which projects are profitable; which contracts are about to expire; which vehicles require servicing; which stock items are running low; which payments require approval; how much each department has spent; how group investments are performing; what the current liabilities are; and what the consolidated financial position of the entire group is. The resulting platform is characterised as an ERP + HRM + CRM + Accounting + Inventory + Procurement + Project Management + Asset Management + Corporate Governance system structured specifically for Morise Holdings Limited.</w:t>
      </w:r>
    </w:p>
    <w:p>
      <w:pPr>
        <w:pStyle w:val="BodyText"/>
      </w:pPr>
      <w:r>
        <w:t>The separation model the objective demands is already the spine of the build: BR-01 company / branch / department scoping enforced server-side across every module, a role and permission catalogue with direct grant / revoke and delegated administration, and the group → subsidiary → branch hierarchy in the Organization service, so a Group role sees consolidated information while a subsidiary-scoped user sees only their own company (the “centralized group management with controlled subsidiary independence” of section 56). The module coverage the objective names is substantially in place: Accounting and Finance (chart of accounts, journals, periods, AR, AP, nine financial statements, consolidated variants), HR and Payroll, CRM (the customer master plus support), Inventory and Warehouse operations, Procurement’s supplier and accounts-payable tail, Project Management, Asset Management, Fleet, and the group dashboards.</w:t>
      </w:r>
    </w:p>
    <w:p>
      <w:pPr>
        <w:pStyle w:val="BodyText"/>
      </w:pPr>
      <w:r>
        <w:t>IMPLEMENTED THIS PASS — the executive answer layer. A new src/executive module exposes GET /api/v1/executive/questions and GET /api/v1/executive/overview. /questions returns the seventeen questions each with a plain-language answer computed from live data, a numeric value, a unit (money / count), a status (answered / partial / planned) and, where useful, a per-company or per-item breakdown. /overview returns the same figures as a compact key-value summary for a dashboard tile. Both are filtered to the caller’s company scope per BR-01: a user holding organization.company.viewAll gets the whole group; a subsidiary-scoped user gets only their companies, and the answers (net profit, cash, receivables, payables, headcount, salary bill, liabilities, consolidated position) recompute for that narrower set. The answers draw on the existing DashboardService financials (per-company assets, liabilities, cash, receivables, payables, revenue, expense, net profit and their group totals) plus direct queries for asset net book value, active headcount and the monthly gross-salary bill, project profitability (recorded revenue less attributed paid expenses), supplier contracts expiring within 60 days, vehicle service schedules due by date or odometer, products below their minimum or reorder point, pending approvals (expense claims at the manager and finance step plus supplier invoices), and paid expenses grouped by department. Two answers are marked partial — “which contracts are about to expire?” covers only supplier contracts today, and “how much has each department spent?” counts only paid expenses — and one is marked planned — “how are group investments performing?”, pending a first-class Investment register.</w:t>
      </w:r>
    </w:p>
    <w:p>
      <w:pPr>
        <w:pStyle w:val="BodyText"/>
      </w:pPr>
      <w:r>
        <w:t>Read-only; no schema change; no new permission. The admin app gains an Executive Q&amp;A screen (navigation under the Financial &amp; Accounting category, route /executive) with a six-tile key-figure strip and one card per question, each showing its status, its plain-language answer, its headline value and an expandable breakdown table. Verified end to end: the Managing Director sees all seventeen answers for the whole group; a subsidiary-scoped Branch Manager sees the same seventeen recomputed for their one company (headcount, net profit and the top-subsidiary line all narrow correctly). nest build and admin vite build clean; openapi.json regenerated (349 → 351 paths, 448 operations). This completes the documentation pass over the master specification: sections 1-16 were built across Sprints 1-16 and Updates 26-69, sections 17-57 were catalogued in Update 83 with the Notifications &amp; Alerts feed shipped, and the Final System Objective is answered here.</w:t>
      </w:r>
    </w:p>
    <w:p>
      <w:pPr>
        <w:pStyle w:val="Heading2"/>
      </w:pPr>
      <w:r>
        <w:t>Impact on this document</w:t>
      </w:r>
    </w:p>
    <w:p>
      <w:pPr>
        <w:pStyle w:val="BodyText"/>
      </w:pPr>
      <w:r>
        <w:t>Admin — a new Executive Q&amp;A screen under the FINANCIAL &amp; ACCOUNTING category (route /executive), visible to any authenticated user and scoped to their companies — no new permission. It is the single place that expresses the Final System Objective.</w:t>
      </w:r>
    </w:p>
    <w:p>
      <w:pPr>
        <w:pStyle w:val="Heading1"/>
      </w:pPr>
      <w:r>
        <w:t>99. Implementation Status Update 85 (2 September 2026) — Payroll Payslips Visible to Staff on Approval</w:t>
      </w:r>
    </w:p>
    <w:p>
      <w:pPr>
        <w:pStyle w:val="BodyText"/>
      </w:pPr>
      <w:r>
        <w:t>An administrator asked that, once a payroll run is approved for a company, that company's staff and members be able to view their own payslip in the My Payslips section of My HR in the admin application — without waiting for the run to be paid. Until now a payslip only appeared to its owner after the payroll run had been marked paid; between approval and payment the employee could see nothing, even though the run's figures were already final.</w:t>
      </w:r>
    </w:p>
    <w:p>
      <w:pPr>
        <w:pStyle w:val="BodyText"/>
      </w:pPr>
      <w:r>
        <w:t>My HR is the employee self-service area of the admin app: every screen is scoped to the signed-in user through the Employee.userId link, so a person sees only their own attendance, leave, shifts, performance, payslips and salary advances. My Payslips is backed by GET /api/v1/my-hr/payslips, which returned the caller's payslip rows whose payroll run had reached status paid — each with the period, the pay date, gross pay, PAYE, NSSF (employee and employer), salary-advance recovery, other deductions, net pay and the earnings breakdown.</w:t>
      </w:r>
    </w:p>
    <w:p>
      <w:pPr>
        <w:pStyle w:val="BodyText"/>
      </w:pPr>
      <w:r>
        <w:t>IMPLEMENTED THIS PASS. GET /api/v1/my-hr/payslips now returns a payslip as soon as its payroll run is approved: the run-status filter widened from paid to approved-or-paid, and each row now also carries the run status (approved or paid) and the approvedAt date alongside paidAt. Draft and cancelled runs stay invisible, and the per-employee scoping is unchanged — a staff member still sees only their own payslip. POST /api/v1/payroll/runs/:id/approve now notifies every run member who has a login, the same way the pay step already did: each linked employee gets a “Your payslip for &lt;month&gt; &lt;year&gt; is ready to view” notification pointing at My HR → My Payslips, and the payment-time notification was reworded to “Your &lt;month&gt; &lt;year&gt; pay has been released.”</w:t>
      </w:r>
    </w:p>
    <w:p>
      <w:pPr>
        <w:pStyle w:val="BodyText"/>
      </w:pPr>
      <w:r>
        <w:t>The My Payslips screen (mbms/frontend/src/pages/MyHr.jsx) gains a Status column — an amber “Approved · awaiting payment” badge until the run is paid, then a green “Paid · &lt;date&gt;” badge — and the same status line in the payslip detail dialog; the empty-state text now reads “… once a payroll run that includes you has been approved.” Read-only widening of an existing endpoint: no schema change, no migration, no new permission. Verified end to end against the seeded data: a holding-company staff member with a login sees the approved August 2026 run's payslip immediately (status approved, no pay date); a freshly created draft run's payslips stay invisible; approving a run fires exactly one notification per member with a login; paying the run flips the badge to Paid. nest build and admin vite build clean; openapi.json unchanged (351 paths / 448 operations / 175 schemas).</w:t>
      </w:r>
    </w:p>
    <w:p>
      <w:pPr>
        <w:pStyle w:val="Heading2"/>
      </w:pPr>
      <w:r>
        <w:t>Impact on this document</w:t>
      </w:r>
    </w:p>
    <w:p>
      <w:pPr>
        <w:pStyle w:val="BodyText"/>
      </w:pPr>
      <w:r>
        <w:t>Administrator Manual — My HR → My Payslips gains a Status column (amber “Approved · awaiting payment” / green “Paid · date”) and a status line in the payslip dialog; approving a payroll run now notifies every run member who has a login. No new permission — My HR remains scoped to the signed-in user's Employee record.</w:t>
      </w:r>
    </w:p>
    <w:p>
      <w:pPr>
        <w:pStyle w:val="Heading1"/>
      </w:pPr>
      <w:r>
        <w:t>100. Implementation Status Update 86 (2 September 2026) — Alerts on the Admin Bell, Routed by Department</w:t>
      </w:r>
    </w:p>
    <w:p>
      <w:pPr>
        <w:pStyle w:val="BodyText"/>
      </w:pPr>
      <w:r>
        <w:t>An administrator asked that the Alerts feed introduced in Update 83 show up on the admin app's bell icon as notifications, and that every logged-in admin staff member see those notifications filtered to their own department. Until now the Alerts feed lived only on its own screen (GET /api/v1/alerts); the bell showed workflow notifications pushed explicitly by individual modules, and nothing routed anything by department.</w:t>
      </w:r>
    </w:p>
    <w:p>
      <w:pPr>
        <w:pStyle w:val="BodyText"/>
      </w:pPr>
      <w:r>
        <w:t>The Alerts feed is a single cross-module list of time-sensitive things that need attention — overdue customer and supplier invoices, pending approvals, expiring supplier contracts, vehicle statutory renewals and services due, asset insurance and inspections, stock below its minimum, expiring stock batches and project deadlines — each derived live from the module that owns it and filtered to the caller's company scope (BR-01). The bell is a per-user in-app feed: a Notification row per recipient, polled every 20 seconds for its unread count, with no scheduler or push infrastructure in this proof-of-concept.</w:t>
      </w:r>
    </w:p>
    <w:p>
      <w:pPr>
        <w:pStyle w:val="BodyText"/>
      </w:pPr>
      <w:r>
        <w:t>IMPLEMENTED THIS PASS. Every alert is now tagged with the department responsible for acting on it. Where the source record carries a department (projects) that column is used; otherwise the owning function is matched, case-insensitively and as a substring, against that company's own department names — so overdue invoices route to Finance / Billing, expiring contracts to Procurement, vehicle renewals and services to Fleet / Logistics / Distribution, stock and batch alerts to Warehouse / Inventory, and pending-approval queues by queue type (expense and supplier-invoice approvals to Finance, leave approvals to Human Resources). An alert that matches no department is treated as company-wide. A new AlertsService.syncToNotifications(user) mirrors the caller's live alert feed onto their bell as Notification rows of type alert:&lt;category&gt;, reconciling on each read — it creates a row for every alert that has none yet and deletes rows whose underlying alert has cleared, so the bell always reflects the current feed without a scheduler. The sync runs at the top of GET /api/v1/notifications and GET /api/v1/notifications/unread-count, is best-effort (a failure never breaks the feed) and is throttled to one reconcile per user every two minutes.</w:t>
      </w:r>
    </w:p>
    <w:p>
      <w:pPr>
        <w:pStyle w:val="BodyText"/>
      </w:pPr>
      <w:r>
        <w:t>The department filter: a staff member whose department is known — resolved from their linked Employee record, or a department-scoped access grant — sees their department's alerts plus the company-wide ones; a user with group-wide visibility (organization.company.viewAll), or one with no department at all, sees everything already in their company scope, exactly as before. Notification gains a nullable department_id column (migration 20260902140000_notification_department) and the feed now returns the routed department id and name on each row; the bell marks alert notifications with a warning glyph and shows a small department chip. No new permission, no new endpoint. Verified end to end on the seeded data (fifteen Agro alerts): the Finance &amp; Administration user receives the three overdue-invoice notifications plus the five company-wide pending-approval ones and none of the seven warehouse-routed alerts; the Warehouse &amp; Distribution user receives the stock, batch and vehicle alerts plus the five pending approvals and none of the overdue invoices; a user with no department and the Managing Director (group visibility) receive all fifteen; re-polling never duplicates a row and clearing an alert removes its notification. nest build and admin vite build clean; prisma migrate deploy applied; openapi.json regenerated (351 paths / 448 operations, path order only).</w:t>
      </w:r>
    </w:p>
    <w:p>
      <w:pPr>
        <w:pStyle w:val="Heading2"/>
      </w:pPr>
      <w:r>
        <w:t>Impact on this document</w:t>
      </w:r>
    </w:p>
    <w:p>
      <w:pPr>
        <w:pStyle w:val="BodyText"/>
      </w:pPr>
      <w:r>
        <w:t>Administrator Manual — document department routing: which function each alert category maps to, that the match is a case-insensitive substring against the company's department names, that an unmatched alert is company-wide, and that group-visibility users and users with no department (or no linked Employee) see every in-scope alert. No new permission.</w:t>
      </w:r>
    </w:p>
    <w:p>
      <w:pPr>
        <w:pStyle w:val="Heading1"/>
      </w:pPr>
      <w:r>
        <w:t>101. Implementation Status Update 87 (2 September 2026) — Alert Notifications Made Visible on the Bell</w:t>
      </w:r>
    </w:p>
    <w:p>
      <w:pPr>
        <w:pStyle w:val="BodyText"/>
      </w:pPr>
      <w:r>
        <w:t>After Update 86 an administrator reported that the alert notifications still did not appear on the admin app's bell for logged-in staff. Investigation with a headless browser showed the cause was purely presentational: the notification dropdown is rendered inside the navy top bar, which sets a white text colour, and the dropdown panel never reset it — so every row was drawn in white text on a white background. The unread count on the bell was correct and the rows were in the DOM; they were simply invisible. This pass fixes the visibility and tightens the department routing.</w:t>
      </w:r>
    </w:p>
    <w:p>
      <w:pPr>
        <w:pStyle w:val="BodyText"/>
      </w:pPr>
      <w:r>
        <w:t>The dropdown panel now sets an explicit dark text colour and opaque white background (and a left text alignment), so the notification title, its detail line, the timestamp and the department chip all render at normal contrast. The department chip uses the standard neutral badge style. No behavioural change to what is shown — only whether it can be seen.</w:t>
      </w:r>
    </w:p>
    <w:p>
      <w:pPr>
        <w:pStyle w:val="BodyText"/>
      </w:pPr>
      <w:r>
        <w:t>Department routing was also made deterministic. Each alert category carries an ordered list of department-name keywords, most-specific owner first; routing now walks that list in order and the first keyword that matches any of the company's departments wins, instead of taking whichever department happened to appear first in the list. So a low-stock alert resolves to “Warehouse &amp; Distribution” on the “warehouse” keyword rather than falling through to a broader “Field Operations”, and a handful of catch-all keywords (field, operations) were added at the end of the vehicle, stock, batch and inspection categories so companies that have only a general operations department still receive those alerts.</w:t>
      </w:r>
    </w:p>
    <w:p>
      <w:pPr>
        <w:pStyle w:val="BodyText"/>
      </w:pPr>
      <w:r>
        <w:t>No schema change, no new endpoint, no new permission — this is the visibility fix for Update 86. Re-verified end to end in the running admin app with three personas: the IT Administrator (group-wide visibility) sees all fifteen seeded Agro alerts on the bell, each with its department chip (Finance &amp; Administration or Warehouse &amp; Distribution); the Finance Manager (scoped, Finance &amp; Administration) sees the three overdue-invoice alerts plus the five company-wide pending-approval alerts and none of the warehouse-routed ones; the Branch Manager (scoped, Field Operations) sees the five company-wide pending-approval alerts. All rows are legible, the ⚠️ marker and the department chip show, and re-polling does not duplicate. nest build and admin vite build clean; openapi.json unchanged.</w:t>
      </w:r>
    </w:p>
    <w:p>
      <w:pPr>
        <w:pStyle w:val="Heading2"/>
      </w:pPr>
      <w:r>
        <w:t>Impact on this document</w:t>
      </w:r>
    </w:p>
    <w:p>
      <w:pPr>
        <w:pStyle w:val="BodyText"/>
      </w:pPr>
      <w:r>
        <w:t>Administrator Manual — note that alert routing tries department-name keywords in priority order (most specific first) and that vehicle / stock / batch / inspection alerts fall back to a general operations or field department when no specific one exists.</w:t>
      </w:r>
    </w:p>
    <w:p>
      <w:pPr>
        <w:pStyle w:val="Heading1"/>
      </w:pPr>
      <w:r>
        <w:t>102. Implementation Status Update 88 (2 September 2026) — Social Media Channels Managed From One Shared Record</w:t>
      </w:r>
    </w:p>
    <w:p>
      <w:pPr>
        <w:pStyle w:val="BodyText"/>
      </w:pPr>
      <w:r>
        <w:t>An administrator asked to manage the storefront's social media channels from the CMS / Site Builder section of the admin/backend so that a single edit — one handle, one display name, one tagline, one visibility setting — can be pushed to every social media channel at once, and so that adding, updating or deleting all channels is a single click rather than a per-channel chore.</w:t>
      </w:r>
    </w:p>
    <w:p>
      <w:pPr>
        <w:pStyle w:val="BodyText"/>
      </w:pPr>
      <w:r>
        <w:t>A new SocialContent table (migration 20260902150000_social_content) holds exactly one row: the shared content record — an account handle, a display name used as the link label on every channel, a tagline shown above the channel row in the storefront footer, and a shared visibility flag. It sits alongside the existing per-channel SocialLink table, which is unchanged, so a channel can still be added or edited individually as before.</w:t>
      </w:r>
    </w:p>
    <w:p>
      <w:pPr>
        <w:pStyle w:val="BodyText"/>
      </w:pPr>
      <w:r>
        <w:t>Four endpoints were added under the existing cms.manage / cms.viewAll permissions (no new permission): GET and PUT /api/v1/cms/social-content read and save the shared record; POST /api/v1/cms/social-content/apply pushes it onto every channel in one call — with { createMissing: true } it first creates a channel for every supported platform, building each URL from the shared handle, and with { overwriteUrls: true } it rebuilds every channel URL from that handle; DELETE /api/v1/cms/social-content/channels removes every channel at once. The CMS / Site Builder screen gains a “Shared content — one edit, all channels” panel with Save, “Apply to all channels”, “Add &amp; sync every platform” and “Clear all channels” buttons. The storefront footer now shows the shared tagline above the channel icons via a new public GET /api/v1/customer-portal/public/social-content.</w:t>
      </w:r>
    </w:p>
    <w:p>
      <w:pPr>
        <w:pStyle w:val="BodyText"/>
      </w:pPr>
      <w:r>
        <w:t>Verified end to end against the running system: saving the shared record then clicking “Add &amp; sync every platform” created the eight buildable platform channels and set every label and visibility from the record; “Apply to all channels” with the URL-rebuild option on rewrote every channel URL from the handle; “Clear all channels” deleted them all and a re-apply with createMissing rebuilt them; the storefront footer read the shared tagline. Every mutation writes an audit event (cms.social_content.updated / applied / cleared). nest build, admin vite build and storefront vite build all clean; openapi.json regenerated (355 paths, 453 operations).</w:t>
      </w:r>
    </w:p>
    <w:p>
      <w:pPr>
        <w:pStyle w:val="Heading2"/>
      </w:pPr>
      <w:r>
        <w:t>Impact on this document</w:t>
      </w:r>
    </w:p>
    <w:p>
      <w:pPr>
        <w:pStyle w:val="BodyText"/>
      </w:pPr>
      <w:r>
        <w:t>Administrator Manual — administrators now drive every social media channel from one shared record; the three one-click buttons and the “rebuild URLs from the handle” option are documented.</w:t>
      </w:r>
    </w:p>
    <w:p>
      <w:pPr>
        <w:pStyle w:val="Heading1"/>
      </w:pPr>
      <w:r>
        <w:t>103. Implementation Status Update 89 (2 September 2026) — Every Social Media Platform Managed From One CMS Roster</w:t>
      </w:r>
    </w:p>
    <w:p>
      <w:pPr>
        <w:pStyle w:val="BodyText"/>
      </w:pPr>
      <w:r>
        <w:t>Following Update 88 (a shared social-content record with a one-click apply to all channels), an administrator asked that the social media channels be managed from the CMS / Site Builder section as one place that reflects every social media platform — so the panel shows all supported platforms as a fixed list, whether or not a channel row exists yet, rather than only the channels that happen to have been added.</w:t>
      </w:r>
    </w:p>
    <w:p>
      <w:pPr>
        <w:pStyle w:val="BodyText"/>
      </w:pPr>
      <w:r>
        <w:t>The CMS / Site Builder “Social media channels” panel is now a fixed roster of every supported platform (Facebook, X, Instagram, LinkedIn, YouTube, TikTok, WhatsApp, Telegram, Other). Each platform is one editable row — URL, label, visibility, order — present at all times; a platform with no URL shows as “not set” with its expected URL shape as a placeholder. Saving a row creates the channel; clearing its URL and saving removes it; the visibility toggle and the up/down order controls act on the platforms that have a row. The per-platform URL placeholder is built from the shared handle in the Update 88 record where one is set.</w:t>
      </w:r>
    </w:p>
    <w:p>
      <w:pPr>
        <w:pStyle w:val="BodyText"/>
      </w:pPr>
      <w:r>
        <w:t>Backing this: the `social_links` table now has a UNIQUE constraint on `platform` (migration 20260902160000_social_link_platform_unique — it de-duplicates any existing rows first, keeping the earliest per platform), so each platform maps to at most one channel. Two endpoints were added under the existing cms.manage / cms.viewAll permissions (no new permission): GET /api/v1/cms/social-links/roster returns all nine platforms in canonical order with any existing row merged in and a URL hint; PUT /api/v1/cms/social-links/platform/:platform creates, updates or (on an explicit empty URL) deletes that platform's single row. The free-form “add a channel” form is replaced by the roster, and the old POST /cms/social-links now rejects a second row for a platform with a clear message. Every mutation is audited as before (cms.social_link.created / updated / deleted).</w:t>
      </w:r>
    </w:p>
    <w:p>
      <w:pPr>
        <w:pStyle w:val="BodyText"/>
      </w:pPr>
      <w:r>
        <w:t>Verified end to end against the running system: the roster returns all nine platforms with the four seeded ones (Facebook, X, Instagram, LinkedIn shown; WhatsApp hidden) merged in and the rest marked “not set”; PUT platform/youtube created a row, PUT platform/facebook updated its URL, PUT platform/whatsapp with an empty URL deleted it, and POST /cms/social-links for an existing platform returned a 409 with the “edit it in the platform roster” message; the storefront footer reflected each change. nest build, admin vite build and storefront vite build all clean; prisma migrate deploy applied; openapi.json regenerated (357 paths, 455 operations). The Update 88 shared-content panel and its one-click apply / add-all / clear-all actions are unchanged and sit above the roster.</w:t>
      </w:r>
    </w:p>
    <w:p>
      <w:pPr>
        <w:pStyle w:val="Heading2"/>
      </w:pPr>
      <w:r>
        <w:t>Impact on this document</w:t>
      </w:r>
    </w:p>
    <w:p>
      <w:pPr>
        <w:pStyle w:val="BodyText"/>
      </w:pPr>
      <w:r>
        <w:t>Administrator Manual — administrators manage every social platform from the CMS roster (one row each); adding is filling in a URL and saving, removing is clearing it and saving.</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BodyText"/>
    <w:qFormat/>
    <w:pPr/>
    <w:rPr>
      <w:b/>
      <w:bCs/>
      <w:color w:val="1F3864"/>
      <w:sz w:val="40"/>
      <w:szCs w:val="40"/>
    </w:rPr>
  </w:style>
  <w:style w:type="paragraph" w:styleId="Heading2">
    <w:name w:val="heading 2"/>
    <w:basedOn w:val="Heading"/>
    <w:next w:val="BodyText"/>
    <w:qFormat/>
    <w:pPr>
      <w:pBdr>
        <w:bottom w:val="single" w:sz="2" w:space="2" w:color="1F3864"/>
      </w:pBdr>
      <w:spacing w:before="330" w:after="120"/>
      <w:outlineLvl w:val="1"/>
    </w:pPr>
    <w:rPr>
      <w:rFonts w:ascii="Liberation Serif" w:hAnsi="Liberation Serif" w:eastAsia="Noto Serif CJK SC" w:cs="Noto Sans Devanagari"/>
      <w:b/>
      <w:bCs/>
      <w:color w:val="1F3864"/>
      <w:sz w:val="28"/>
      <w:szCs w:val="28"/>
    </w:rPr>
  </w:style>
  <w:style w:type="paragraph" w:styleId="Heading3">
    <w:name w:val="heading 3"/>
    <w:basedOn w:val="Heading"/>
    <w:next w:val="BodyText"/>
    <w:qFormat/>
    <w:pPr>
      <w:spacing w:before="210" w:after="120"/>
      <w:outlineLvl w:val="2"/>
    </w:pPr>
    <w:rPr>
      <w:rFonts w:ascii="Liberation Serif" w:hAnsi="Liberation Serif" w:eastAsia="Noto Serif CJK SC" w:cs="Noto Sans Devanagari"/>
      <w:b/>
      <w:bCs/>
      <w:color w:val="2E5395"/>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sz w:val="19"/>
      <w:szCs w:val="19"/>
      <w:shd w:fill="EFEFEF" w:val="clear"/>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z w:val="20"/>
      <w:szCs w:val="20"/>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864" w:val="clear"/>
      <w:jc w:val="left"/>
    </w:pPr>
    <w:rPr>
      <w:b/>
      <w:bCs/>
      <w:color w:val="FFFFFF"/>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Administrator Manual</dc:title>
</cp:coreProperties>
</file>

<file path=docProps/custom.xml><?xml version="1.0" encoding="utf-8"?>
<Properties xmlns="http://schemas.openxmlformats.org/officeDocument/2006/custom-properties" xmlns:vt="http://schemas.openxmlformats.org/officeDocument/2006/docPropsVTypes"/>
</file>