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p>
      <w:pPr>
        <w:pStyle w:val="Heading1"/>
      </w:pPr>
      <w:r>
        <w:t>100.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Development — delivered in one pass on the existing CMS module: one migration, one DTO, two controller routes, a roster panel replacing the free-form add form; no new module, permission or dependency.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