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UI/UX Design</w:t>
      </w:r>
    </w:p>
    <w:p>
      <w:pPr>
        <w:pStyle w:val="BodyText"/>
        <w:bidi w:val="0"/>
        <w:spacing w:before="30" w:after="283"/>
        <w:ind w:hanging="0" w:left="0" w:right="0"/>
        <w:jc w:val="left"/>
        <w:rPr>
          <w:color w:val="444444"/>
          <w:sz w:val="24"/>
        </w:rPr>
      </w:pPr>
      <w:r>
        <w:rPr>
          <w:color w:val="444444"/>
          <w:sz w:val="24"/>
        </w:rPr>
        <w:t>Morise Holdings Limited Business Management System (MBMS) — Phase 1</w:t>
      </w:r>
    </w:p>
    <w:tbl>
      <w:tblPr>
        <w:tblW w:w="11339" w:type="dxa"/>
        <w:jc w:val="left"/>
        <w:tblInd w:w="28" w:type="dxa"/>
        <w:tblLayout w:type="fixed"/>
        <w:tblCellMar>
          <w:top w:w="28" w:type="dxa"/>
          <w:left w:w="28" w:type="dxa"/>
          <w:bottom w:w="28" w:type="dxa"/>
          <w:right w:w="28" w:type="dxa"/>
        </w:tblCellMar>
      </w:tblPr>
      <w:tblGrid>
        <w:gridCol w:w="1893"/>
        <w:gridCol w:w="9446"/>
      </w:tblGrid>
      <w:tr>
        <w:trPr/>
        <w:tc>
          <w:tcPr>
            <w:tcW w:w="1893" w:type="dxa"/>
            <w:tcBorders/>
            <w:vAlign w:val="center"/>
          </w:tcPr>
          <w:p>
            <w:pPr>
              <w:pStyle w:val="TableContents"/>
              <w:bidi w:val="0"/>
              <w:spacing w:before="0" w:after="283"/>
              <w:jc w:val="left"/>
              <w:rPr>
                <w:b/>
              </w:rPr>
            </w:pPr>
            <w:r>
              <w:rPr>
                <w:b/>
              </w:rPr>
              <w:t>Document Type:</w:t>
            </w:r>
          </w:p>
        </w:tc>
        <w:tc>
          <w:tcPr>
            <w:tcW w:w="9446" w:type="dxa"/>
            <w:tcBorders/>
            <w:vAlign w:val="center"/>
          </w:tcPr>
          <w:p>
            <w:pPr>
              <w:pStyle w:val="TableContents"/>
              <w:bidi w:val="0"/>
              <w:spacing w:before="0" w:after="283"/>
              <w:jc w:val="left"/>
              <w:rPr/>
            </w:pPr>
            <w:r>
              <w:rPr/>
              <w:t>UI/UX Design</w:t>
            </w:r>
          </w:p>
        </w:tc>
      </w:tr>
      <w:tr>
        <w:trPr/>
        <w:tc>
          <w:tcPr>
            <w:tcW w:w="1893" w:type="dxa"/>
            <w:tcBorders/>
            <w:vAlign w:val="center"/>
          </w:tcPr>
          <w:p>
            <w:pPr>
              <w:pStyle w:val="TableContents"/>
              <w:bidi w:val="0"/>
              <w:spacing w:before="0" w:after="283"/>
              <w:jc w:val="left"/>
              <w:rPr>
                <w:b/>
              </w:rPr>
            </w:pPr>
            <w:r>
              <w:rPr>
                <w:b/>
              </w:rPr>
              <w:t>Purpose:</w:t>
            </w:r>
          </w:p>
        </w:tc>
        <w:tc>
          <w:tcPr>
            <w:tcW w:w="9446" w:type="dxa"/>
            <w:tcBorders/>
            <w:vAlign w:val="center"/>
          </w:tcPr>
          <w:p>
            <w:pPr>
              <w:pStyle w:val="TableContents"/>
              <w:bidi w:val="0"/>
              <w:spacing w:before="0" w:after="283"/>
              <w:jc w:val="left"/>
              <w:rPr/>
            </w:pPr>
            <w:r>
              <w:rPr/>
              <w:t>Defines application interfaces — wireframes, style guide, screen inventory</w:t>
            </w:r>
          </w:p>
        </w:tc>
      </w:tr>
      <w:tr>
        <w:trPr/>
        <w:tc>
          <w:tcPr>
            <w:tcW w:w="1893" w:type="dxa"/>
            <w:tcBorders/>
            <w:vAlign w:val="center"/>
          </w:tcPr>
          <w:p>
            <w:pPr>
              <w:pStyle w:val="TableContents"/>
              <w:bidi w:val="0"/>
              <w:spacing w:before="0" w:after="283"/>
              <w:jc w:val="left"/>
              <w:rPr>
                <w:b/>
              </w:rPr>
            </w:pPr>
            <w:r>
              <w:rPr>
                <w:b/>
              </w:rPr>
              <w:t>Version:</w:t>
            </w:r>
          </w:p>
        </w:tc>
        <w:tc>
          <w:tcPr>
            <w:tcW w:w="9446" w:type="dxa"/>
            <w:tcBorders/>
            <w:vAlign w:val="center"/>
          </w:tcPr>
          <w:p>
            <w:pPr>
              <w:pStyle w:val="TableContents"/>
              <w:bidi w:val="0"/>
              <w:spacing w:before="0" w:after="283"/>
              <w:jc w:val="left"/>
              <w:rPr/>
            </w:pPr>
            <w:r>
              <w:rPr/>
              <w:t>1.0 (Draft)</w:t>
            </w:r>
          </w:p>
        </w:tc>
      </w:tr>
      <w:tr>
        <w:trPr/>
        <w:tc>
          <w:tcPr>
            <w:tcW w:w="1893" w:type="dxa"/>
            <w:tcBorders/>
            <w:vAlign w:val="center"/>
          </w:tcPr>
          <w:p>
            <w:pPr>
              <w:pStyle w:val="TableContents"/>
              <w:bidi w:val="0"/>
              <w:spacing w:before="0" w:after="283"/>
              <w:jc w:val="left"/>
              <w:rPr>
                <w:b/>
              </w:rPr>
            </w:pPr>
            <w:r>
              <w:rPr>
                <w:b/>
              </w:rPr>
              <w:t>Date:</w:t>
            </w:r>
          </w:p>
        </w:tc>
        <w:tc>
          <w:tcPr>
            <w:tcW w:w="9446" w:type="dxa"/>
            <w:tcBorders/>
            <w:vAlign w:val="center"/>
          </w:tcPr>
          <w:p>
            <w:pPr>
              <w:pStyle w:val="TableContents"/>
              <w:bidi w:val="0"/>
              <w:spacing w:before="0" w:after="283"/>
              <w:jc w:val="left"/>
              <w:rPr/>
            </w:pPr>
            <w:r>
              <w:rPr/>
              <w:t>18 August 2026</w:t>
            </w:r>
          </w:p>
        </w:tc>
      </w:tr>
      <w:tr>
        <w:trPr/>
        <w:tc>
          <w:tcPr>
            <w:tcW w:w="1893" w:type="dxa"/>
            <w:tcBorders/>
            <w:vAlign w:val="center"/>
          </w:tcPr>
          <w:p>
            <w:pPr>
              <w:pStyle w:val="TableContents"/>
              <w:bidi w:val="0"/>
              <w:spacing w:before="0" w:after="283"/>
              <w:jc w:val="left"/>
              <w:rPr>
                <w:b/>
              </w:rPr>
            </w:pPr>
            <w:r>
              <w:rPr>
                <w:b/>
              </w:rPr>
              <w:t>Prepared by:</w:t>
            </w:r>
          </w:p>
        </w:tc>
        <w:tc>
          <w:tcPr>
            <w:tcW w:w="9446" w:type="dxa"/>
            <w:tcBorders/>
            <w:vAlign w:val="center"/>
          </w:tcPr>
          <w:p>
            <w:pPr>
              <w:pStyle w:val="TableContents"/>
              <w:bidi w:val="0"/>
              <w:spacing w:before="0" w:after="283"/>
              <w:jc w:val="left"/>
              <w:rPr/>
            </w:pPr>
            <w:r>
              <w:rPr/>
              <w:t>Obeke Godfrey, Director</w:t>
            </w:r>
          </w:p>
        </w:tc>
      </w:tr>
      <w:tr>
        <w:trPr/>
        <w:tc>
          <w:tcPr>
            <w:tcW w:w="1893" w:type="dxa"/>
            <w:tcBorders/>
            <w:vAlign w:val="center"/>
          </w:tcPr>
          <w:p>
            <w:pPr>
              <w:pStyle w:val="TableContents"/>
              <w:bidi w:val="0"/>
              <w:spacing w:before="0" w:after="283"/>
              <w:jc w:val="left"/>
              <w:rPr>
                <w:b/>
              </w:rPr>
            </w:pPr>
            <w:r>
              <w:rPr>
                <w:b/>
              </w:rPr>
              <w:t>Prepared for:</w:t>
            </w:r>
          </w:p>
        </w:tc>
        <w:tc>
          <w:tcPr>
            <w:tcW w:w="9446" w:type="dxa"/>
            <w:tcBorders/>
            <w:vAlign w:val="center"/>
          </w:tcPr>
          <w:p>
            <w:pPr>
              <w:pStyle w:val="TableContents"/>
              <w:bidi w:val="0"/>
              <w:spacing w:before="0" w:after="283"/>
              <w:jc w:val="left"/>
              <w:rPr/>
            </w:pPr>
            <w:r>
              <w:rPr/>
              <w:t>Development Team / Technology Partner, Morise Holdings Limited</w:t>
            </w:r>
          </w:p>
        </w:tc>
      </w:tr>
      <w:tr>
        <w:trPr/>
        <w:tc>
          <w:tcPr>
            <w:tcW w:w="1893" w:type="dxa"/>
            <w:tcBorders/>
            <w:vAlign w:val="center"/>
          </w:tcPr>
          <w:p>
            <w:pPr>
              <w:pStyle w:val="TableContents"/>
              <w:bidi w:val="0"/>
              <w:spacing w:before="0" w:after="283"/>
              <w:jc w:val="left"/>
              <w:rPr>
                <w:b/>
              </w:rPr>
            </w:pPr>
            <w:r>
              <w:rPr>
                <w:b/>
              </w:rPr>
              <w:t>Related documents:</w:t>
            </w:r>
          </w:p>
        </w:tc>
        <w:tc>
          <w:tcPr>
            <w:tcW w:w="9446" w:type="dxa"/>
            <w:tcBorders/>
            <w:vAlign w:val="center"/>
          </w:tcPr>
          <w:p>
            <w:pPr>
              <w:pStyle w:val="TableContents"/>
              <w:bidi w:val="0"/>
              <w:spacing w:before="0" w:after="283"/>
              <w:jc w:val="left"/>
              <w:rPr/>
            </w:pPr>
            <w:r>
              <w:rPr/>
              <w:t>04_Software Requirements Specification; 06_User Stories, Epics and Product Backlog; 09_API Specification; 14_User Manual</w:t>
            </w:r>
          </w:p>
        </w:tc>
      </w:tr>
    </w:tbl>
    <w:p>
      <w:pPr>
        <w:pStyle w:val="Heading2"/>
        <w:bidi w:val="0"/>
        <w:jc w:val="left"/>
        <w:rPr/>
      </w:pPr>
      <w:r>
        <w:rPr/>
        <w:t>1. Purpose and How to Use This Document</w:t>
      </w:r>
    </w:p>
    <w:p>
      <w:pPr>
        <w:pStyle w:val="BodyText"/>
        <w:bidi w:val="0"/>
        <w:jc w:val="left"/>
        <w:rPr/>
      </w:pPr>
      <w:r>
        <w:rPr/>
        <w:t>This is the final document in the Group's required software development documentation sequence (Multi Holdings Limited Software Development Procedures and Implementation Blueprint, Section 25, item 7). It defines the visual language, screen inventory and layout for every Phase 1 interface. Because this is a text document rather than a design tool, wireframes are shown as structured layout diagrams rather than pixel-accurate mockups — the engaged development team's frontend developer should treat these as binding for structure and content, and free to interpret for exact visual polish within the style guide in Section 2.</w:t>
      </w:r>
    </w:p>
    <w:p>
      <w:pPr>
        <w:pStyle w:val="Heading2"/>
        <w:bidi w:val="0"/>
        <w:jc w:val="left"/>
        <w:rPr/>
      </w:pPr>
      <w:r>
        <w:rPr/>
        <w:t>2. Design Principles</w:t>
      </w:r>
    </w:p>
    <w:p>
      <w:pPr>
        <w:pStyle w:val="BodyText"/>
        <w:numPr>
          <w:ilvl w:val="0"/>
          <w:numId w:val="1"/>
        </w:numPr>
        <w:tabs>
          <w:tab w:val="clear" w:pos="1134"/>
          <w:tab w:val="left" w:pos="709" w:leader="none"/>
        </w:tabs>
        <w:bidi w:val="0"/>
        <w:spacing w:before="0" w:after="0"/>
        <w:ind w:hanging="283" w:left="709"/>
        <w:jc w:val="left"/>
        <w:rPr/>
      </w:pPr>
      <w:r>
        <w:rPr>
          <w:b/>
        </w:rPr>
        <w:t>Clarity over decoration:</w:t>
      </w:r>
      <w:r>
        <w:rPr/>
        <w:t xml:space="preserve"> this is a business system used daily by staff with varying technical comfort, not a marketing site — every screen should make its primary action obvious. </w:t>
      </w:r>
    </w:p>
    <w:p>
      <w:pPr>
        <w:pStyle w:val="BodyText"/>
        <w:numPr>
          <w:ilvl w:val="0"/>
          <w:numId w:val="1"/>
        </w:numPr>
        <w:tabs>
          <w:tab w:val="clear" w:pos="1134"/>
          <w:tab w:val="left" w:pos="709" w:leader="none"/>
        </w:tabs>
        <w:bidi w:val="0"/>
        <w:spacing w:before="0" w:after="0"/>
        <w:ind w:hanging="283" w:left="709"/>
        <w:jc w:val="left"/>
        <w:rPr/>
      </w:pPr>
      <w:r>
        <w:rPr>
          <w:b/>
        </w:rPr>
        <w:t>Consistency:</w:t>
      </w:r>
      <w:r>
        <w:rPr/>
        <w:t xml:space="preserve"> the same list/form/detail patterns (Section 6) are reused across every module, so learning one screen teaches the user most of the system. </w:t>
      </w:r>
    </w:p>
    <w:p>
      <w:pPr>
        <w:pStyle w:val="BodyText"/>
        <w:numPr>
          <w:ilvl w:val="0"/>
          <w:numId w:val="1"/>
        </w:numPr>
        <w:tabs>
          <w:tab w:val="clear" w:pos="1134"/>
          <w:tab w:val="left" w:pos="709" w:leader="none"/>
        </w:tabs>
        <w:bidi w:val="0"/>
        <w:spacing w:before="0" w:after="0"/>
        <w:ind w:hanging="283" w:left="709"/>
        <w:jc w:val="left"/>
        <w:rPr/>
      </w:pPr>
      <w:r>
        <w:rPr>
          <w:b/>
        </w:rPr>
        <w:t>Honest feedback:</w:t>
      </w:r>
      <w:r>
        <w:rPr/>
        <w:t xml:space="preserve"> every error state uses the plain-language messages already defined in 14_User Manual, Section 9 — never a bare technical error code. </w:t>
      </w:r>
    </w:p>
    <w:p>
      <w:pPr>
        <w:pStyle w:val="BodyText"/>
        <w:numPr>
          <w:ilvl w:val="0"/>
          <w:numId w:val="1"/>
        </w:numPr>
        <w:tabs>
          <w:tab w:val="clear" w:pos="1134"/>
          <w:tab w:val="left" w:pos="709" w:leader="none"/>
        </w:tabs>
        <w:bidi w:val="0"/>
        <w:spacing w:before="0" w:after="0"/>
        <w:ind w:hanging="283" w:left="709"/>
        <w:jc w:val="left"/>
        <w:rPr/>
      </w:pPr>
      <w:r>
        <w:rPr>
          <w:b/>
        </w:rPr>
        <w:t>Scope-aware by default:</w:t>
      </w:r>
      <w:r>
        <w:rPr/>
        <w:t xml:space="preserve"> what a user sees (Section 7) reflects their role and company/branch scope automatically (SRS BR-01) — the interface never requires a user to remember to filter to "just my data." </w:t>
      </w:r>
    </w:p>
    <w:p>
      <w:pPr>
        <w:pStyle w:val="BodyText"/>
        <w:numPr>
          <w:ilvl w:val="0"/>
          <w:numId w:val="1"/>
        </w:numPr>
        <w:tabs>
          <w:tab w:val="clear" w:pos="1134"/>
          <w:tab w:val="left" w:pos="709" w:leader="none"/>
        </w:tabs>
        <w:bidi w:val="0"/>
        <w:ind w:hanging="283" w:left="709"/>
        <w:jc w:val="left"/>
        <w:rPr/>
      </w:pPr>
      <w:r>
        <w:rPr>
          <w:b/>
        </w:rPr>
        <w:t>Desktop and tablet first, Phase 1</w:t>
      </w:r>
      <w:r>
        <w:rPr/>
        <w:t xml:space="preserve"> — per SRS NFR-12, full mobile optimization is a Phase 5 deliverable; Phase 1 screens must be usable, not necessarily optimized, on a tablet-sized viewport. </w:t>
      </w:r>
    </w:p>
    <w:p>
      <w:pPr>
        <w:pStyle w:val="Heading2"/>
        <w:bidi w:val="0"/>
        <w:jc w:val="left"/>
        <w:rPr/>
      </w:pPr>
      <w:r>
        <w:rPr/>
        <w:t>3. Style Guide</w:t>
      </w:r>
    </w:p>
    <w:p>
      <w:pPr>
        <w:pStyle w:val="Heading3"/>
        <w:bidi w:val="0"/>
        <w:jc w:val="left"/>
        <w:rPr/>
      </w:pPr>
      <w:r>
        <w:rPr/>
        <w:t>3.1 Color Palette</w:t>
      </w:r>
    </w:p>
    <w:p>
      <w:pPr>
        <w:pStyle w:val="BodyText"/>
        <w:bidi w:val="0"/>
        <w:jc w:val="left"/>
        <w:rPr/>
      </w:pPr>
      <w:r>
        <w:rPr/>
        <w:t>Proposed as a starting palette, deliberately matching the color scheme already used consistently across this entire project documentation set — giving the Group a single visual identity from planning documents through to the live system. The Board/Group should treat this as a proposal to confirm or replace, not an asserted official brand, since no Group brand guideline exists in the source material.</w:t>
      </w:r>
    </w:p>
    <w:tbl>
      <w:tblPr>
        <w:tblW w:w="8785" w:type="dxa"/>
        <w:jc w:val="left"/>
        <w:tblInd w:w="28" w:type="dxa"/>
        <w:tblLayout w:type="fixed"/>
        <w:tblCellMar>
          <w:top w:w="28" w:type="dxa"/>
          <w:left w:w="28" w:type="dxa"/>
          <w:bottom w:w="28" w:type="dxa"/>
          <w:right w:w="28" w:type="dxa"/>
        </w:tblCellMar>
      </w:tblPr>
      <w:tblGrid>
        <w:gridCol w:w="826"/>
        <w:gridCol w:w="1951"/>
        <w:gridCol w:w="943"/>
        <w:gridCol w:w="5065"/>
      </w:tblGrid>
      <w:tr>
        <w:trPr/>
        <w:tc>
          <w:tcPr>
            <w:tcW w:w="826" w:type="dxa"/>
            <w:tcBorders/>
            <w:vAlign w:val="center"/>
          </w:tcPr>
          <w:p>
            <w:pPr>
              <w:pStyle w:val="TableHeading"/>
              <w:suppressLineNumbers/>
              <w:shd w:fill="1F3864" w:val="clear"/>
              <w:bidi w:val="0"/>
              <w:spacing w:before="0" w:after="283"/>
              <w:jc w:val="left"/>
              <w:rPr/>
            </w:pPr>
            <w:r>
              <w:rPr/>
              <w:t>Swatch</w:t>
            </w:r>
          </w:p>
        </w:tc>
        <w:tc>
          <w:tcPr>
            <w:tcW w:w="1951" w:type="dxa"/>
            <w:tcBorders/>
            <w:vAlign w:val="center"/>
          </w:tcPr>
          <w:p>
            <w:pPr>
              <w:pStyle w:val="TableHeading"/>
              <w:suppressLineNumbers/>
              <w:shd w:fill="1F3864" w:val="clear"/>
              <w:bidi w:val="0"/>
              <w:spacing w:before="0" w:after="283"/>
              <w:jc w:val="left"/>
              <w:rPr/>
            </w:pPr>
            <w:r>
              <w:rPr/>
              <w:t>Name</w:t>
            </w:r>
          </w:p>
        </w:tc>
        <w:tc>
          <w:tcPr>
            <w:tcW w:w="943" w:type="dxa"/>
            <w:tcBorders/>
            <w:vAlign w:val="center"/>
          </w:tcPr>
          <w:p>
            <w:pPr>
              <w:pStyle w:val="TableHeading"/>
              <w:suppressLineNumbers/>
              <w:shd w:fill="1F3864" w:val="clear"/>
              <w:bidi w:val="0"/>
              <w:spacing w:before="0" w:after="283"/>
              <w:jc w:val="left"/>
              <w:rPr/>
            </w:pPr>
            <w:r>
              <w:rPr/>
              <w:t>Hex</w:t>
            </w:r>
          </w:p>
        </w:tc>
        <w:tc>
          <w:tcPr>
            <w:tcW w:w="5065" w:type="dxa"/>
            <w:tcBorders/>
            <w:vAlign w:val="center"/>
          </w:tcPr>
          <w:p>
            <w:pPr>
              <w:pStyle w:val="TableHeading"/>
              <w:suppressLineNumbers/>
              <w:shd w:fill="1F3864" w:val="clear"/>
              <w:bidi w:val="0"/>
              <w:spacing w:before="0" w:after="283"/>
              <w:jc w:val="left"/>
              <w:rPr/>
            </w:pPr>
            <w:r>
              <w:rPr/>
              <w:t>Use</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Primary (Navy)</w:t>
            </w:r>
          </w:p>
        </w:tc>
        <w:tc>
          <w:tcPr>
            <w:tcW w:w="943" w:type="dxa"/>
            <w:tcBorders/>
            <w:vAlign w:val="center"/>
          </w:tcPr>
          <w:p>
            <w:pPr>
              <w:pStyle w:val="TableContents"/>
              <w:bidi w:val="0"/>
              <w:spacing w:before="0" w:after="283"/>
              <w:jc w:val="left"/>
              <w:rPr/>
            </w:pPr>
            <w:r>
              <w:rPr/>
              <w:t>#1F3864</w:t>
            </w:r>
          </w:p>
        </w:tc>
        <w:tc>
          <w:tcPr>
            <w:tcW w:w="5065" w:type="dxa"/>
            <w:tcBorders/>
            <w:vAlign w:val="center"/>
          </w:tcPr>
          <w:p>
            <w:pPr>
              <w:pStyle w:val="TableContents"/>
              <w:bidi w:val="0"/>
              <w:spacing w:before="0" w:after="283"/>
              <w:jc w:val="left"/>
              <w:rPr/>
            </w:pPr>
            <w:r>
              <w:rPr/>
              <w:t>Primary buttons, headers, active navigation</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Secondary (Blue)</w:t>
            </w:r>
          </w:p>
        </w:tc>
        <w:tc>
          <w:tcPr>
            <w:tcW w:w="943" w:type="dxa"/>
            <w:tcBorders/>
            <w:vAlign w:val="center"/>
          </w:tcPr>
          <w:p>
            <w:pPr>
              <w:pStyle w:val="TableContents"/>
              <w:bidi w:val="0"/>
              <w:spacing w:before="0" w:after="283"/>
              <w:jc w:val="left"/>
              <w:rPr/>
            </w:pPr>
            <w:r>
              <w:rPr/>
              <w:t>#2E5395</w:t>
            </w:r>
          </w:p>
        </w:tc>
        <w:tc>
          <w:tcPr>
            <w:tcW w:w="5065" w:type="dxa"/>
            <w:tcBorders/>
            <w:vAlign w:val="center"/>
          </w:tcPr>
          <w:p>
            <w:pPr>
              <w:pStyle w:val="TableContents"/>
              <w:bidi w:val="0"/>
              <w:spacing w:before="0" w:after="283"/>
              <w:jc w:val="left"/>
              <w:rPr/>
            </w:pPr>
            <w:r>
              <w:rPr/>
              <w:t>Links, secondary actions, section headers</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Success</w:t>
            </w:r>
          </w:p>
        </w:tc>
        <w:tc>
          <w:tcPr>
            <w:tcW w:w="943" w:type="dxa"/>
            <w:tcBorders/>
            <w:vAlign w:val="center"/>
          </w:tcPr>
          <w:p>
            <w:pPr>
              <w:pStyle w:val="TableContents"/>
              <w:bidi w:val="0"/>
              <w:spacing w:before="0" w:after="283"/>
              <w:jc w:val="left"/>
              <w:rPr/>
            </w:pPr>
            <w:r>
              <w:rPr/>
              <w:t>#2E7D4F</w:t>
            </w:r>
          </w:p>
        </w:tc>
        <w:tc>
          <w:tcPr>
            <w:tcW w:w="5065" w:type="dxa"/>
            <w:tcBorders/>
            <w:vAlign w:val="center"/>
          </w:tcPr>
          <w:p>
            <w:pPr>
              <w:pStyle w:val="TableContents"/>
              <w:bidi w:val="0"/>
              <w:spacing w:before="0" w:after="283"/>
              <w:jc w:val="left"/>
              <w:rPr/>
            </w:pPr>
            <w:r>
              <w:rPr/>
              <w:t>Successful save, "balanced" indicator, active status</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Warning</w:t>
            </w:r>
          </w:p>
        </w:tc>
        <w:tc>
          <w:tcPr>
            <w:tcW w:w="943" w:type="dxa"/>
            <w:tcBorders/>
            <w:vAlign w:val="center"/>
          </w:tcPr>
          <w:p>
            <w:pPr>
              <w:pStyle w:val="TableContents"/>
              <w:bidi w:val="0"/>
              <w:spacing w:before="0" w:after="283"/>
              <w:jc w:val="left"/>
              <w:rPr/>
            </w:pPr>
            <w:r>
              <w:rPr/>
              <w:t>#D98C00</w:t>
            </w:r>
          </w:p>
        </w:tc>
        <w:tc>
          <w:tcPr>
            <w:tcW w:w="5065" w:type="dxa"/>
            <w:tcBorders/>
            <w:vAlign w:val="center"/>
          </w:tcPr>
          <w:p>
            <w:pPr>
              <w:pStyle w:val="TableContents"/>
              <w:bidi w:val="0"/>
              <w:spacing w:before="0" w:after="283"/>
              <w:jc w:val="left"/>
              <w:rPr/>
            </w:pPr>
            <w:r>
              <w:rPr/>
              <w:t>Non-blocking cautions, pending/draft status</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Error / Critical</w:t>
            </w:r>
          </w:p>
        </w:tc>
        <w:tc>
          <w:tcPr>
            <w:tcW w:w="943" w:type="dxa"/>
            <w:tcBorders/>
            <w:vAlign w:val="center"/>
          </w:tcPr>
          <w:p>
            <w:pPr>
              <w:pStyle w:val="TableContents"/>
              <w:bidi w:val="0"/>
              <w:spacing w:before="0" w:after="283"/>
              <w:jc w:val="left"/>
              <w:rPr/>
            </w:pPr>
            <w:r>
              <w:rPr/>
              <w:t>#B33A3A</w:t>
            </w:r>
          </w:p>
        </w:tc>
        <w:tc>
          <w:tcPr>
            <w:tcW w:w="5065" w:type="dxa"/>
            <w:tcBorders/>
            <w:vAlign w:val="center"/>
          </w:tcPr>
          <w:p>
            <w:pPr>
              <w:pStyle w:val="TableContents"/>
              <w:bidi w:val="0"/>
              <w:spacing w:before="0" w:after="283"/>
              <w:jc w:val="left"/>
              <w:rPr/>
            </w:pPr>
            <w:r>
              <w:rPr/>
              <w:t>Validation errors, unbalanced entry, blacklisted status</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Neutral background</w:t>
            </w:r>
          </w:p>
        </w:tc>
        <w:tc>
          <w:tcPr>
            <w:tcW w:w="943" w:type="dxa"/>
            <w:tcBorders/>
            <w:vAlign w:val="center"/>
          </w:tcPr>
          <w:p>
            <w:pPr>
              <w:pStyle w:val="TableContents"/>
              <w:bidi w:val="0"/>
              <w:spacing w:before="0" w:after="283"/>
              <w:jc w:val="left"/>
              <w:rPr/>
            </w:pPr>
            <w:r>
              <w:rPr/>
              <w:t>#F2F5FA</w:t>
            </w:r>
          </w:p>
        </w:tc>
        <w:tc>
          <w:tcPr>
            <w:tcW w:w="5065" w:type="dxa"/>
            <w:tcBorders/>
            <w:vAlign w:val="center"/>
          </w:tcPr>
          <w:p>
            <w:pPr>
              <w:pStyle w:val="TableContents"/>
              <w:bidi w:val="0"/>
              <w:spacing w:before="0" w:after="283"/>
              <w:jc w:val="left"/>
              <w:rPr/>
            </w:pPr>
            <w:r>
              <w:rPr/>
              <w:t>Table row striping, card backgrounds</w:t>
            </w:r>
          </w:p>
        </w:tc>
      </w:tr>
      <w:tr>
        <w:trPr/>
        <w:tc>
          <w:tcPr>
            <w:tcW w:w="826" w:type="dxa"/>
            <w:tcBorders/>
            <w:vAlign w:val="center"/>
          </w:tcPr>
          <w:p>
            <w:pPr>
              <w:pStyle w:val="TableContents"/>
              <w:bidi w:val="0"/>
              <w:spacing w:before="0" w:after="283"/>
              <w:ind w:hanging="0" w:left="0" w:right="90"/>
              <w:jc w:val="left"/>
              <w:rPr>
                <w:sz w:val="4"/>
                <w:szCs w:val="4"/>
              </w:rPr>
            </w:pPr>
            <w:r>
              <w:rPr>
                <w:sz w:val="4"/>
                <w:szCs w:val="4"/>
              </w:rPr>
            </w:r>
          </w:p>
        </w:tc>
        <w:tc>
          <w:tcPr>
            <w:tcW w:w="1951" w:type="dxa"/>
            <w:tcBorders/>
            <w:vAlign w:val="center"/>
          </w:tcPr>
          <w:p>
            <w:pPr>
              <w:pStyle w:val="TableContents"/>
              <w:bidi w:val="0"/>
              <w:spacing w:before="0" w:after="283"/>
              <w:jc w:val="left"/>
              <w:rPr/>
            </w:pPr>
            <w:r>
              <w:rPr/>
              <w:t>Text</w:t>
            </w:r>
          </w:p>
        </w:tc>
        <w:tc>
          <w:tcPr>
            <w:tcW w:w="943" w:type="dxa"/>
            <w:tcBorders/>
            <w:vAlign w:val="center"/>
          </w:tcPr>
          <w:p>
            <w:pPr>
              <w:pStyle w:val="TableContents"/>
              <w:bidi w:val="0"/>
              <w:spacing w:before="0" w:after="283"/>
              <w:jc w:val="left"/>
              <w:rPr/>
            </w:pPr>
            <w:r>
              <w:rPr/>
              <w:t>#1a1a1a</w:t>
            </w:r>
          </w:p>
        </w:tc>
        <w:tc>
          <w:tcPr>
            <w:tcW w:w="5065" w:type="dxa"/>
            <w:tcBorders/>
            <w:vAlign w:val="center"/>
          </w:tcPr>
          <w:p>
            <w:pPr>
              <w:pStyle w:val="TableContents"/>
              <w:bidi w:val="0"/>
              <w:spacing w:before="0" w:after="283"/>
              <w:jc w:val="left"/>
              <w:rPr/>
            </w:pPr>
            <w:r>
              <w:rPr/>
              <w:t>Body text</w:t>
            </w:r>
          </w:p>
        </w:tc>
      </w:tr>
    </w:tbl>
    <w:p>
      <w:pPr>
        <w:pStyle w:val="Heading3"/>
        <w:bidi w:val="0"/>
        <w:jc w:val="left"/>
        <w:rPr/>
      </w:pPr>
      <w:r>
        <w:rPr/>
        <w:t>3.2 Typography</w:t>
      </w:r>
    </w:p>
    <w:p>
      <w:pPr>
        <w:pStyle w:val="BodyText"/>
        <w:bidi w:val="0"/>
        <w:jc w:val="left"/>
        <w:rPr/>
      </w:pPr>
      <w:r>
        <w:rPr/>
        <w:t xml:space="preserve">System font stack (no license required, renders natively and fast on every platform): </w:t>
      </w:r>
      <w:r>
        <w:rPr>
          <w:rStyle w:val="SourceText"/>
        </w:rPr>
        <w:t>-apple-system, "Segoe UI", Roboto, Arial, sans-serif</w:t>
      </w:r>
      <w:r>
        <w:rPr/>
        <w:t>. Headings use the Primary/Secondary colors above; body text is the near-black Text color, never pure black, for reduced eye strain in prolonged use.</w:t>
      </w:r>
    </w:p>
    <w:p>
      <w:pPr>
        <w:pStyle w:val="Heading3"/>
        <w:bidi w:val="0"/>
        <w:jc w:val="left"/>
        <w:rPr/>
      </w:pPr>
      <w:r>
        <w:rPr/>
        <w:t>3.3 Spacing and Layout Grid</w:t>
      </w:r>
    </w:p>
    <w:p>
      <w:pPr>
        <w:pStyle w:val="BodyText"/>
        <w:bidi w:val="0"/>
        <w:jc w:val="left"/>
        <w:rPr/>
      </w:pPr>
      <w:r>
        <w:rPr/>
        <w:t>8px base spacing unit (8/16/24/32px increments) for consistent rhythm across forms, tables and cards. Maximum content width 1200px on desktop, with tables scrolling horizontally rather than compressing illegibly on narrower viewports (tablet).</w:t>
      </w:r>
    </w:p>
    <w:p>
      <w:pPr>
        <w:pStyle w:val="Heading3"/>
        <w:bidi w:val="0"/>
        <w:jc w:val="left"/>
        <w:rPr/>
      </w:pPr>
      <w:r>
        <w:rPr/>
        <w:t>3.4 Status Badges</w:t>
      </w:r>
    </w:p>
    <w:p>
      <w:pPr>
        <w:pStyle w:val="BodyText"/>
        <w:bidi w:val="0"/>
        <w:jc w:val="left"/>
        <w:rPr/>
      </w:pPr>
      <w:r>
        <w:rPr/>
        <w:t>Every status field in the system (user active/inactive/locked, company active/inactive, journal entry draft/posted, supplier blacklisted, financial period open/closed) uses a consistent small colored badge — Success green for the "good"/active state, Warning amber for an in-progress/draft state, Error red for a blocked/rejected state, and a neutral gray for a simple inactive state. This lets a user recognize status at a glance across every module without re-learning per screen.</w:t>
      </w:r>
    </w:p>
    <w:p>
      <w:pPr>
        <w:pStyle w:val="Heading2"/>
        <w:bidi w:val="0"/>
        <w:jc w:val="left"/>
        <w:rPr/>
      </w:pPr>
      <w:r>
        <w:rPr/>
        <w:t>4. Screen Inventory</w:t>
      </w:r>
    </w:p>
    <w:p>
      <w:pPr>
        <w:pStyle w:val="BodyText"/>
        <w:bidi w:val="0"/>
        <w:jc w:val="left"/>
        <w:rPr/>
      </w:pPr>
      <w:r>
        <w:rPr/>
        <w:t>Every Phase 1 screen, mapped to the Epic that requires it (06_User Stories, Section 2):</w:t>
      </w:r>
    </w:p>
    <w:tbl>
      <w:tblPr>
        <w:tblW w:w="10130" w:type="dxa"/>
        <w:jc w:val="left"/>
        <w:tblInd w:w="28" w:type="dxa"/>
        <w:tblLayout w:type="fixed"/>
        <w:tblCellMar>
          <w:top w:w="28" w:type="dxa"/>
          <w:left w:w="28" w:type="dxa"/>
          <w:bottom w:w="28" w:type="dxa"/>
          <w:right w:w="28" w:type="dxa"/>
        </w:tblCellMar>
      </w:tblPr>
      <w:tblGrid>
        <w:gridCol w:w="5128"/>
        <w:gridCol w:w="806"/>
        <w:gridCol w:w="4196"/>
      </w:tblGrid>
      <w:tr>
        <w:trPr/>
        <w:tc>
          <w:tcPr>
            <w:tcW w:w="5128" w:type="dxa"/>
            <w:tcBorders/>
            <w:vAlign w:val="center"/>
          </w:tcPr>
          <w:p>
            <w:pPr>
              <w:pStyle w:val="TableHeading"/>
              <w:suppressLineNumbers/>
              <w:shd w:fill="1F3864" w:val="clear"/>
              <w:bidi w:val="0"/>
              <w:spacing w:before="0" w:after="283"/>
              <w:jc w:val="left"/>
              <w:rPr/>
            </w:pPr>
            <w:r>
              <w:rPr/>
              <w:t>Screen</w:t>
            </w:r>
          </w:p>
        </w:tc>
        <w:tc>
          <w:tcPr>
            <w:tcW w:w="806" w:type="dxa"/>
            <w:tcBorders/>
            <w:vAlign w:val="center"/>
          </w:tcPr>
          <w:p>
            <w:pPr>
              <w:pStyle w:val="TableHeading"/>
              <w:suppressLineNumbers/>
              <w:shd w:fill="1F3864" w:val="clear"/>
              <w:bidi w:val="0"/>
              <w:spacing w:before="0" w:after="283"/>
              <w:jc w:val="left"/>
              <w:rPr/>
            </w:pPr>
            <w:r>
              <w:rPr/>
              <w:t>Epic</w:t>
            </w:r>
          </w:p>
        </w:tc>
        <w:tc>
          <w:tcPr>
            <w:tcW w:w="4196" w:type="dxa"/>
            <w:tcBorders/>
            <w:vAlign w:val="center"/>
          </w:tcPr>
          <w:p>
            <w:pPr>
              <w:pStyle w:val="TableHeading"/>
              <w:suppressLineNumbers/>
              <w:shd w:fill="1F3864" w:val="clear"/>
              <w:bidi w:val="0"/>
              <w:spacing w:before="0" w:after="283"/>
              <w:jc w:val="left"/>
              <w:rPr/>
            </w:pPr>
            <w:r>
              <w:rPr/>
              <w:t>Wireframed in Section 6?</w:t>
            </w:r>
          </w:p>
        </w:tc>
      </w:tr>
      <w:tr>
        <w:trPr/>
        <w:tc>
          <w:tcPr>
            <w:tcW w:w="5128" w:type="dxa"/>
            <w:tcBorders/>
            <w:vAlign w:val="center"/>
          </w:tcPr>
          <w:p>
            <w:pPr>
              <w:pStyle w:val="TableContents"/>
              <w:bidi w:val="0"/>
              <w:spacing w:before="0" w:after="283"/>
              <w:jc w:val="left"/>
              <w:rPr/>
            </w:pPr>
            <w:r>
              <w:rPr/>
              <w:t>Login / Forgot Password</w:t>
            </w:r>
          </w:p>
        </w:tc>
        <w:tc>
          <w:tcPr>
            <w:tcW w:w="806" w:type="dxa"/>
            <w:tcBorders/>
            <w:vAlign w:val="center"/>
          </w:tcPr>
          <w:p>
            <w:pPr>
              <w:pStyle w:val="TableContents"/>
              <w:bidi w:val="0"/>
              <w:spacing w:before="0" w:after="283"/>
              <w:jc w:val="left"/>
              <w:rPr/>
            </w:pPr>
            <w:r>
              <w:rPr/>
              <w:t>EPIC-01</w:t>
            </w:r>
          </w:p>
        </w:tc>
        <w:tc>
          <w:tcPr>
            <w:tcW w:w="4196" w:type="dxa"/>
            <w:tcBorders/>
            <w:vAlign w:val="center"/>
          </w:tcPr>
          <w:p>
            <w:pPr>
              <w:pStyle w:val="TableContents"/>
              <w:bidi w:val="0"/>
              <w:spacing w:before="0" w:after="283"/>
              <w:jc w:val="left"/>
              <w:rPr/>
            </w:pPr>
            <w:r>
              <w:rPr/>
              <w:t>Yes (6.1)</w:t>
            </w:r>
          </w:p>
        </w:tc>
      </w:tr>
      <w:tr>
        <w:trPr/>
        <w:tc>
          <w:tcPr>
            <w:tcW w:w="5128" w:type="dxa"/>
            <w:tcBorders/>
            <w:vAlign w:val="center"/>
          </w:tcPr>
          <w:p>
            <w:pPr>
              <w:pStyle w:val="TableContents"/>
              <w:bidi w:val="0"/>
              <w:spacing w:before="0" w:after="283"/>
              <w:jc w:val="left"/>
              <w:rPr/>
            </w:pPr>
            <w:r>
              <w:rPr/>
              <w:t>Group Dashboard</w:t>
            </w:r>
          </w:p>
        </w:tc>
        <w:tc>
          <w:tcPr>
            <w:tcW w:w="806" w:type="dxa"/>
            <w:tcBorders/>
            <w:vAlign w:val="center"/>
          </w:tcPr>
          <w:p>
            <w:pPr>
              <w:pStyle w:val="TableContents"/>
              <w:bidi w:val="0"/>
              <w:spacing w:before="0" w:after="283"/>
              <w:jc w:val="left"/>
              <w:rPr/>
            </w:pPr>
            <w:r>
              <w:rPr/>
              <w:t>EPIC-04</w:t>
            </w:r>
          </w:p>
        </w:tc>
        <w:tc>
          <w:tcPr>
            <w:tcW w:w="4196" w:type="dxa"/>
            <w:tcBorders/>
            <w:vAlign w:val="center"/>
          </w:tcPr>
          <w:p>
            <w:pPr>
              <w:pStyle w:val="TableContents"/>
              <w:bidi w:val="0"/>
              <w:spacing w:before="0" w:after="283"/>
              <w:jc w:val="left"/>
              <w:rPr/>
            </w:pPr>
            <w:r>
              <w:rPr/>
              <w:t>Yes (6.2)</w:t>
            </w:r>
          </w:p>
        </w:tc>
      </w:tr>
      <w:tr>
        <w:trPr/>
        <w:tc>
          <w:tcPr>
            <w:tcW w:w="5128" w:type="dxa"/>
            <w:tcBorders/>
            <w:vAlign w:val="center"/>
          </w:tcPr>
          <w:p>
            <w:pPr>
              <w:pStyle w:val="TableContents"/>
              <w:bidi w:val="0"/>
              <w:spacing w:before="0" w:after="283"/>
              <w:jc w:val="left"/>
              <w:rPr/>
            </w:pPr>
            <w:r>
              <w:rPr/>
              <w:t>Subsidiary Dashboard</w:t>
            </w:r>
          </w:p>
        </w:tc>
        <w:tc>
          <w:tcPr>
            <w:tcW w:w="806" w:type="dxa"/>
            <w:tcBorders/>
            <w:vAlign w:val="center"/>
          </w:tcPr>
          <w:p>
            <w:pPr>
              <w:pStyle w:val="TableContents"/>
              <w:bidi w:val="0"/>
              <w:spacing w:before="0" w:after="283"/>
              <w:jc w:val="left"/>
              <w:rPr/>
            </w:pPr>
            <w:r>
              <w:rPr/>
              <w:t>EPIC-04</w:t>
            </w:r>
          </w:p>
        </w:tc>
        <w:tc>
          <w:tcPr>
            <w:tcW w:w="4196" w:type="dxa"/>
            <w:tcBorders/>
            <w:vAlign w:val="center"/>
          </w:tcPr>
          <w:p>
            <w:pPr>
              <w:pStyle w:val="TableContents"/>
              <w:bidi w:val="0"/>
              <w:spacing w:before="0" w:after="283"/>
              <w:jc w:val="left"/>
              <w:rPr/>
            </w:pPr>
            <w:r>
              <w:rPr/>
              <w:t>Yes (6.3)</w:t>
            </w:r>
          </w:p>
        </w:tc>
      </w:tr>
      <w:tr>
        <w:trPr/>
        <w:tc>
          <w:tcPr>
            <w:tcW w:w="5128" w:type="dxa"/>
            <w:tcBorders/>
            <w:vAlign w:val="center"/>
          </w:tcPr>
          <w:p>
            <w:pPr>
              <w:pStyle w:val="TableContents"/>
              <w:bidi w:val="0"/>
              <w:spacing w:before="0" w:after="283"/>
              <w:jc w:val="left"/>
              <w:rPr/>
            </w:pPr>
            <w:r>
              <w:rPr/>
              <w:t>Company list / detail / hierarchy view</w:t>
            </w:r>
          </w:p>
        </w:tc>
        <w:tc>
          <w:tcPr>
            <w:tcW w:w="806" w:type="dxa"/>
            <w:tcBorders/>
            <w:vAlign w:val="center"/>
          </w:tcPr>
          <w:p>
            <w:pPr>
              <w:pStyle w:val="TableContents"/>
              <w:bidi w:val="0"/>
              <w:spacing w:before="0" w:after="283"/>
              <w:jc w:val="left"/>
              <w:rPr/>
            </w:pPr>
            <w:r>
              <w:rPr/>
              <w:t>EPIC-02</w:t>
            </w:r>
          </w:p>
        </w:tc>
        <w:tc>
          <w:tcPr>
            <w:tcW w:w="4196" w:type="dxa"/>
            <w:tcBorders/>
            <w:vAlign w:val="center"/>
          </w:tcPr>
          <w:p>
            <w:pPr>
              <w:pStyle w:val="TableContents"/>
              <w:bidi w:val="0"/>
              <w:spacing w:before="0" w:after="283"/>
              <w:jc w:val="left"/>
              <w:rPr/>
            </w:pPr>
            <w:r>
              <w:rPr/>
              <w:t>Pattern: List + Detail (6.4, 6.5)</w:t>
            </w:r>
          </w:p>
        </w:tc>
      </w:tr>
      <w:tr>
        <w:trPr/>
        <w:tc>
          <w:tcPr>
            <w:tcW w:w="5128" w:type="dxa"/>
            <w:tcBorders/>
            <w:vAlign w:val="center"/>
          </w:tcPr>
          <w:p>
            <w:pPr>
              <w:pStyle w:val="TableContents"/>
              <w:bidi w:val="0"/>
              <w:spacing w:before="0" w:after="283"/>
              <w:jc w:val="left"/>
              <w:rPr/>
            </w:pPr>
            <w:r>
              <w:rPr/>
              <w:t>Branch / Department management (within a company)</w:t>
            </w:r>
          </w:p>
        </w:tc>
        <w:tc>
          <w:tcPr>
            <w:tcW w:w="806" w:type="dxa"/>
            <w:tcBorders/>
            <w:vAlign w:val="center"/>
          </w:tcPr>
          <w:p>
            <w:pPr>
              <w:pStyle w:val="TableContents"/>
              <w:bidi w:val="0"/>
              <w:spacing w:before="0" w:after="283"/>
              <w:jc w:val="left"/>
              <w:rPr/>
            </w:pPr>
            <w:r>
              <w:rPr/>
              <w:t>EPIC-02</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User list / detail, role &amp; scope assignment</w:t>
            </w:r>
          </w:p>
        </w:tc>
        <w:tc>
          <w:tcPr>
            <w:tcW w:w="806" w:type="dxa"/>
            <w:tcBorders/>
            <w:vAlign w:val="center"/>
          </w:tcPr>
          <w:p>
            <w:pPr>
              <w:pStyle w:val="TableContents"/>
              <w:bidi w:val="0"/>
              <w:spacing w:before="0" w:after="283"/>
              <w:jc w:val="left"/>
              <w:rPr/>
            </w:pPr>
            <w:r>
              <w:rPr/>
              <w:t>EPIC-03</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My Profile</w:t>
            </w:r>
          </w:p>
        </w:tc>
        <w:tc>
          <w:tcPr>
            <w:tcW w:w="806" w:type="dxa"/>
            <w:tcBorders/>
            <w:vAlign w:val="center"/>
          </w:tcPr>
          <w:p>
            <w:pPr>
              <w:pStyle w:val="TableContents"/>
              <w:bidi w:val="0"/>
              <w:spacing w:before="0" w:after="283"/>
              <w:jc w:val="left"/>
              <w:rPr/>
            </w:pPr>
            <w:r>
              <w:rPr/>
              <w:t>EPIC-03</w:t>
            </w:r>
          </w:p>
        </w:tc>
        <w:tc>
          <w:tcPr>
            <w:tcW w:w="4196" w:type="dxa"/>
            <w:tcBorders/>
            <w:vAlign w:val="center"/>
          </w:tcPr>
          <w:p>
            <w:pPr>
              <w:pStyle w:val="TableContents"/>
              <w:bidi w:val="0"/>
              <w:spacing w:before="0" w:after="283"/>
              <w:jc w:val="left"/>
              <w:rPr/>
            </w:pPr>
            <w:r>
              <w:rPr/>
              <w:t>Pattern: Detail (self-service variant)</w:t>
            </w:r>
          </w:p>
        </w:tc>
      </w:tr>
      <w:tr>
        <w:trPr/>
        <w:tc>
          <w:tcPr>
            <w:tcW w:w="5128" w:type="dxa"/>
            <w:tcBorders/>
            <w:vAlign w:val="center"/>
          </w:tcPr>
          <w:p>
            <w:pPr>
              <w:pStyle w:val="TableContents"/>
              <w:bidi w:val="0"/>
              <w:spacing w:before="0" w:after="283"/>
              <w:jc w:val="left"/>
              <w:rPr/>
            </w:pPr>
            <w:r>
              <w:rPr/>
              <w:t>Employee list / detail / documents</w:t>
            </w:r>
          </w:p>
        </w:tc>
        <w:tc>
          <w:tcPr>
            <w:tcW w:w="806" w:type="dxa"/>
            <w:tcBorders/>
            <w:vAlign w:val="center"/>
          </w:tcPr>
          <w:p>
            <w:pPr>
              <w:pStyle w:val="TableContents"/>
              <w:bidi w:val="0"/>
              <w:spacing w:before="0" w:after="283"/>
              <w:jc w:val="left"/>
              <w:rPr/>
            </w:pPr>
            <w:r>
              <w:rPr/>
              <w:t>EPIC-05</w:t>
            </w:r>
          </w:p>
        </w:tc>
        <w:tc>
          <w:tcPr>
            <w:tcW w:w="4196" w:type="dxa"/>
            <w:tcBorders/>
            <w:vAlign w:val="center"/>
          </w:tcPr>
          <w:p>
            <w:pPr>
              <w:pStyle w:val="TableContents"/>
              <w:bidi w:val="0"/>
              <w:spacing w:before="0" w:after="283"/>
              <w:jc w:val="left"/>
              <w:rPr/>
            </w:pPr>
            <w:r>
              <w:rPr/>
              <w:t>Pattern: List + Detail (6.4, 6.5)</w:t>
            </w:r>
          </w:p>
        </w:tc>
      </w:tr>
      <w:tr>
        <w:trPr/>
        <w:tc>
          <w:tcPr>
            <w:tcW w:w="5128" w:type="dxa"/>
            <w:tcBorders/>
            <w:vAlign w:val="center"/>
          </w:tcPr>
          <w:p>
            <w:pPr>
              <w:pStyle w:val="TableContents"/>
              <w:bidi w:val="0"/>
              <w:spacing w:before="0" w:after="283"/>
              <w:jc w:val="left"/>
              <w:rPr/>
            </w:pPr>
            <w:r>
              <w:rPr/>
              <w:t>Customer list / detail / statement</w:t>
            </w:r>
          </w:p>
        </w:tc>
        <w:tc>
          <w:tcPr>
            <w:tcW w:w="806" w:type="dxa"/>
            <w:tcBorders/>
            <w:vAlign w:val="center"/>
          </w:tcPr>
          <w:p>
            <w:pPr>
              <w:pStyle w:val="TableContents"/>
              <w:bidi w:val="0"/>
              <w:spacing w:before="0" w:after="283"/>
              <w:jc w:val="left"/>
              <w:rPr/>
            </w:pPr>
            <w:r>
              <w:rPr/>
              <w:t>EPIC-06</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Supplier list / detail / documents</w:t>
            </w:r>
          </w:p>
        </w:tc>
        <w:tc>
          <w:tcPr>
            <w:tcW w:w="806" w:type="dxa"/>
            <w:tcBorders/>
            <w:vAlign w:val="center"/>
          </w:tcPr>
          <w:p>
            <w:pPr>
              <w:pStyle w:val="TableContents"/>
              <w:bidi w:val="0"/>
              <w:spacing w:before="0" w:after="283"/>
              <w:jc w:val="left"/>
              <w:rPr/>
            </w:pPr>
            <w:r>
              <w:rPr/>
              <w:t>EPIC-07</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Product / Product Category list / detail</w:t>
            </w:r>
          </w:p>
        </w:tc>
        <w:tc>
          <w:tcPr>
            <w:tcW w:w="806" w:type="dxa"/>
            <w:tcBorders/>
            <w:vAlign w:val="center"/>
          </w:tcPr>
          <w:p>
            <w:pPr>
              <w:pStyle w:val="TableContents"/>
              <w:bidi w:val="0"/>
              <w:spacing w:before="0" w:after="283"/>
              <w:jc w:val="left"/>
              <w:rPr/>
            </w:pPr>
            <w:r>
              <w:rPr/>
              <w:t>EPIC-08</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Chart of Accounts list / detail</w:t>
            </w:r>
          </w:p>
        </w:tc>
        <w:tc>
          <w:tcPr>
            <w:tcW w:w="806" w:type="dxa"/>
            <w:tcBorders/>
            <w:vAlign w:val="center"/>
          </w:tcPr>
          <w:p>
            <w:pPr>
              <w:pStyle w:val="TableContents"/>
              <w:bidi w:val="0"/>
              <w:spacing w:before="0" w:after="283"/>
              <w:jc w:val="left"/>
              <w:rPr/>
            </w:pPr>
            <w:r>
              <w:rPr/>
              <w:t>EPIC-09</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Journal Entry form &amp; list</w:t>
            </w:r>
          </w:p>
        </w:tc>
        <w:tc>
          <w:tcPr>
            <w:tcW w:w="806" w:type="dxa"/>
            <w:tcBorders/>
            <w:vAlign w:val="center"/>
          </w:tcPr>
          <w:p>
            <w:pPr>
              <w:pStyle w:val="TableContents"/>
              <w:bidi w:val="0"/>
              <w:spacing w:before="0" w:after="283"/>
              <w:jc w:val="left"/>
              <w:rPr/>
            </w:pPr>
            <w:r>
              <w:rPr/>
              <w:t>EPIC-09</w:t>
            </w:r>
          </w:p>
        </w:tc>
        <w:tc>
          <w:tcPr>
            <w:tcW w:w="4196" w:type="dxa"/>
            <w:tcBorders/>
            <w:vAlign w:val="center"/>
          </w:tcPr>
          <w:p>
            <w:pPr>
              <w:pStyle w:val="TableContents"/>
              <w:bidi w:val="0"/>
              <w:spacing w:before="0" w:after="283"/>
              <w:jc w:val="left"/>
              <w:rPr/>
            </w:pPr>
            <w:r>
              <w:rPr/>
              <w:t>Yes (6.6) — has unique balance-validation UI</w:t>
            </w:r>
          </w:p>
        </w:tc>
      </w:tr>
      <w:tr>
        <w:trPr/>
        <w:tc>
          <w:tcPr>
            <w:tcW w:w="5128" w:type="dxa"/>
            <w:tcBorders/>
            <w:vAlign w:val="center"/>
          </w:tcPr>
          <w:p>
            <w:pPr>
              <w:pStyle w:val="TableContents"/>
              <w:bidi w:val="0"/>
              <w:spacing w:before="0" w:after="283"/>
              <w:jc w:val="left"/>
              <w:rPr/>
            </w:pPr>
            <w:r>
              <w:rPr/>
              <w:t>Financial Period list / detail</w:t>
            </w:r>
          </w:p>
        </w:tc>
        <w:tc>
          <w:tcPr>
            <w:tcW w:w="806" w:type="dxa"/>
            <w:tcBorders/>
            <w:vAlign w:val="center"/>
          </w:tcPr>
          <w:p>
            <w:pPr>
              <w:pStyle w:val="TableContents"/>
              <w:bidi w:val="0"/>
              <w:spacing w:before="0" w:after="283"/>
              <w:jc w:val="left"/>
              <w:rPr/>
            </w:pPr>
            <w:r>
              <w:rPr/>
              <w:t>EPIC-09</w:t>
            </w:r>
          </w:p>
        </w:tc>
        <w:tc>
          <w:tcPr>
            <w:tcW w:w="4196" w:type="dxa"/>
            <w:tcBorders/>
            <w:vAlign w:val="center"/>
          </w:tcPr>
          <w:p>
            <w:pPr>
              <w:pStyle w:val="TableContents"/>
              <w:bidi w:val="0"/>
              <w:spacing w:before="0" w:after="283"/>
              <w:jc w:val="left"/>
              <w:rPr/>
            </w:pPr>
            <w:r>
              <w:rPr/>
              <w:t>Pattern: List + Detail</w:t>
            </w:r>
          </w:p>
        </w:tc>
      </w:tr>
      <w:tr>
        <w:trPr/>
        <w:tc>
          <w:tcPr>
            <w:tcW w:w="5128" w:type="dxa"/>
            <w:tcBorders/>
            <w:vAlign w:val="center"/>
          </w:tcPr>
          <w:p>
            <w:pPr>
              <w:pStyle w:val="TableContents"/>
              <w:bidi w:val="0"/>
              <w:spacing w:before="0" w:after="283"/>
              <w:jc w:val="left"/>
              <w:rPr/>
            </w:pPr>
            <w:r>
              <w:rPr/>
              <w:t>Trial Balance report</w:t>
            </w:r>
          </w:p>
        </w:tc>
        <w:tc>
          <w:tcPr>
            <w:tcW w:w="806" w:type="dxa"/>
            <w:tcBorders/>
            <w:vAlign w:val="center"/>
          </w:tcPr>
          <w:p>
            <w:pPr>
              <w:pStyle w:val="TableContents"/>
              <w:bidi w:val="0"/>
              <w:spacing w:before="0" w:after="283"/>
              <w:jc w:val="left"/>
              <w:rPr/>
            </w:pPr>
            <w:r>
              <w:rPr/>
              <w:t>EPIC-09</w:t>
            </w:r>
          </w:p>
        </w:tc>
        <w:tc>
          <w:tcPr>
            <w:tcW w:w="4196" w:type="dxa"/>
            <w:tcBorders/>
            <w:vAlign w:val="center"/>
          </w:tcPr>
          <w:p>
            <w:pPr>
              <w:pStyle w:val="TableContents"/>
              <w:bidi w:val="0"/>
              <w:spacing w:before="0" w:after="283"/>
              <w:jc w:val="left"/>
              <w:rPr/>
            </w:pPr>
            <w:r>
              <w:rPr/>
              <w:t>Pattern: Report</w:t>
            </w:r>
          </w:p>
        </w:tc>
      </w:tr>
      <w:tr>
        <w:trPr/>
        <w:tc>
          <w:tcPr>
            <w:tcW w:w="5128" w:type="dxa"/>
            <w:tcBorders/>
            <w:vAlign w:val="center"/>
          </w:tcPr>
          <w:p>
            <w:pPr>
              <w:pStyle w:val="TableContents"/>
              <w:bidi w:val="0"/>
              <w:spacing w:before="0" w:after="283"/>
              <w:jc w:val="left"/>
              <w:rPr/>
            </w:pPr>
            <w:r>
              <w:rPr/>
              <w:t>Audit Trail search/list</w:t>
            </w:r>
          </w:p>
        </w:tc>
        <w:tc>
          <w:tcPr>
            <w:tcW w:w="806" w:type="dxa"/>
            <w:tcBorders/>
            <w:vAlign w:val="center"/>
          </w:tcPr>
          <w:p>
            <w:pPr>
              <w:pStyle w:val="TableContents"/>
              <w:bidi w:val="0"/>
              <w:spacing w:before="0" w:after="283"/>
              <w:jc w:val="left"/>
              <w:rPr/>
            </w:pPr>
            <w:r>
              <w:rPr/>
              <w:t>EPIC-10</w:t>
            </w:r>
          </w:p>
        </w:tc>
        <w:tc>
          <w:tcPr>
            <w:tcW w:w="4196" w:type="dxa"/>
            <w:tcBorders/>
            <w:vAlign w:val="center"/>
          </w:tcPr>
          <w:p>
            <w:pPr>
              <w:pStyle w:val="TableContents"/>
              <w:bidi w:val="0"/>
              <w:spacing w:before="0" w:after="283"/>
              <w:jc w:val="left"/>
              <w:rPr/>
            </w:pPr>
            <w:r>
              <w:rPr/>
              <w:t>Yes (6.7)</w:t>
            </w:r>
          </w:p>
        </w:tc>
      </w:tr>
    </w:tbl>
    <w:p>
      <w:pPr>
        <w:pStyle w:val="Heading2"/>
        <w:bidi w:val="0"/>
        <w:jc w:val="left"/>
        <w:rPr/>
      </w:pPr>
      <w:r>
        <w:rPr/>
        <w:t>5. Navigation Structure</w:t>
      </w:r>
    </w:p>
    <w:p>
      <w:pPr>
        <w:pStyle w:val="BodyText"/>
        <w:bidi w:val="0"/>
        <w:jc w:val="left"/>
        <w:rPr/>
      </w:pPr>
      <w:r>
        <w:rPr/>
        <w:t>Left-hand persistent navigation, grouped to match the module boundaries in 07_System Design Document (each nav group corresponds to one microservice, keeping the mental model consistent even though the user never sees "services"):</w:t>
      </w:r>
    </w:p>
    <w:p>
      <w:pPr>
        <w:pStyle w:val="BodyText"/>
        <w:numPr>
          <w:ilvl w:val="0"/>
          <w:numId w:val="2"/>
        </w:numPr>
        <w:tabs>
          <w:tab w:val="clear" w:pos="1134"/>
          <w:tab w:val="left" w:pos="709" w:leader="none"/>
        </w:tabs>
        <w:bidi w:val="0"/>
        <w:spacing w:before="0" w:after="0"/>
        <w:ind w:hanging="283" w:left="709"/>
        <w:jc w:val="left"/>
        <w:rPr/>
      </w:pPr>
      <w:r>
        <w:rPr>
          <w:b/>
        </w:rPr>
        <w:t>Dashboard</w:t>
      </w:r>
      <w:r>
        <w:rPr/>
        <w:t xml:space="preserve"> (always the landing page after login) </w:t>
      </w:r>
    </w:p>
    <w:p>
      <w:pPr>
        <w:pStyle w:val="BodyText"/>
        <w:numPr>
          <w:ilvl w:val="0"/>
          <w:numId w:val="2"/>
        </w:numPr>
        <w:tabs>
          <w:tab w:val="clear" w:pos="1134"/>
          <w:tab w:val="left" w:pos="709" w:leader="none"/>
        </w:tabs>
        <w:bidi w:val="0"/>
        <w:spacing w:before="0" w:after="0"/>
        <w:ind w:hanging="283" w:left="709"/>
        <w:jc w:val="left"/>
        <w:rPr/>
      </w:pPr>
      <w:r>
        <w:rPr>
          <w:b/>
        </w:rPr>
        <w:t>Companies</w:t>
      </w:r>
      <w:r>
        <w:rPr/>
        <w:t xml:space="preserve"> — companies, branches, departments </w:t>
      </w:r>
    </w:p>
    <w:p>
      <w:pPr>
        <w:pStyle w:val="BodyText"/>
        <w:numPr>
          <w:ilvl w:val="0"/>
          <w:numId w:val="2"/>
        </w:numPr>
        <w:tabs>
          <w:tab w:val="clear" w:pos="1134"/>
          <w:tab w:val="left" w:pos="709" w:leader="none"/>
        </w:tabs>
        <w:bidi w:val="0"/>
        <w:spacing w:before="0" w:after="0"/>
        <w:ind w:hanging="283" w:left="709"/>
        <w:jc w:val="left"/>
        <w:rPr/>
      </w:pPr>
      <w:r>
        <w:rPr>
          <w:b/>
        </w:rPr>
        <w:t>Users &amp; Roles</w:t>
      </w:r>
      <w:r>
        <w:rPr/>
        <w:t xml:space="preserve"> — users, role/permission catalogue (admin roles only) </w:t>
      </w:r>
    </w:p>
    <w:p>
      <w:pPr>
        <w:pStyle w:val="BodyText"/>
        <w:numPr>
          <w:ilvl w:val="0"/>
          <w:numId w:val="2"/>
        </w:numPr>
        <w:tabs>
          <w:tab w:val="clear" w:pos="1134"/>
          <w:tab w:val="left" w:pos="709" w:leader="none"/>
        </w:tabs>
        <w:bidi w:val="0"/>
        <w:spacing w:before="0" w:after="0"/>
        <w:ind w:hanging="283" w:left="709"/>
        <w:jc w:val="left"/>
        <w:rPr/>
      </w:pPr>
      <w:r>
        <w:rPr>
          <w:b/>
        </w:rPr>
        <w:t>Employees</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Customers</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Suppliers</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Products</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Accounting</w:t>
      </w:r>
      <w:r>
        <w:rPr/>
        <w:t xml:space="preserve"> — chart of accounts, journal entries, financial periods, trial balance report </w:t>
      </w:r>
    </w:p>
    <w:p>
      <w:pPr>
        <w:pStyle w:val="BodyText"/>
        <w:numPr>
          <w:ilvl w:val="0"/>
          <w:numId w:val="2"/>
        </w:numPr>
        <w:tabs>
          <w:tab w:val="clear" w:pos="1134"/>
          <w:tab w:val="left" w:pos="709" w:leader="none"/>
        </w:tabs>
        <w:bidi w:val="0"/>
        <w:ind w:hanging="283" w:left="709"/>
        <w:jc w:val="left"/>
        <w:rPr/>
      </w:pPr>
      <w:r>
        <w:rPr>
          <w:b/>
        </w:rPr>
        <w:t>Audit Trail</w:t>
      </w:r>
      <w:r>
        <w:rPr/>
        <w:t xml:space="preserve"> (admin/auditor roles only) </w:t>
      </w:r>
    </w:p>
    <w:p>
      <w:pPr>
        <w:pStyle w:val="BodyText"/>
        <w:bidi w:val="0"/>
        <w:jc w:val="left"/>
        <w:rPr/>
      </w:pPr>
      <w:r>
        <w:rPr/>
        <w:t>Navigation items the current user's role does not grant access to are hidden entirely, not shown-but-disabled — consistent with SRS SEC-01's principle that access control is a server-side fact, not just a UI convenience, so the UI should not imply access exists when it doesn't.</w:t>
      </w:r>
    </w:p>
    <w:p>
      <w:pPr>
        <w:pStyle w:val="Heading2"/>
        <w:bidi w:val="0"/>
        <w:jc w:val="left"/>
        <w:rPr/>
      </w:pPr>
      <w:r>
        <w:rPr/>
        <w:t>6. Key Screen Wireframes</w:t>
      </w:r>
    </w:p>
    <w:p>
      <w:pPr>
        <w:pStyle w:val="Heading3"/>
        <w:bidi w:val="0"/>
        <w:jc w:val="left"/>
        <w:rPr/>
      </w:pPr>
      <w:r>
        <w:rPr/>
        <w:t>6.1 Login</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w:t>
        <w:br/>
        <w:t>| [ Morise Holdings Limited ] |</w:t>
        <w:br/>
        <w:t>| |</w:t>
        <w:br/>
        <w:t>| +------------------------------------+ |</w:t>
        <w:br/>
        <w:t>| | Email | |</w:t>
        <w:br/>
        <w:t>| +------------------------------------+ |</w:t>
        <w:br/>
        <w:t>| +------------------------------------+ |</w:t>
        <w:br/>
        <w:t>| | Password | |</w:t>
        <w:br/>
        <w:t>| +------------------------------------+ |</w:t>
        <w:br/>
        <w:t>| |</w:t>
        <w:br/>
        <w:t>| [ Log In (Primary button) ] |</w:t>
        <w:br/>
        <w:t>| |</w:t>
        <w:br/>
        <w:t>| Forgot Password? |</w:t>
        <w:br/>
        <w:t>| |</w:t>
        <w:br/>
        <w:t xml:space="preserve">+--------------------------------------------------+ </w:t>
      </w:r>
    </w:p>
    <w:p>
      <w:pPr>
        <w:pStyle w:val="BodyText"/>
        <w:bidi w:val="0"/>
        <w:jc w:val="left"/>
        <w:rPr/>
      </w:pPr>
      <w:r>
        <w:rPr>
          <w:b/>
        </w:rPr>
        <w:t>Behavior:</w:t>
      </w:r>
      <w:r>
        <w:rPr/>
        <w:t xml:space="preserve"> on failed login, an inline error banner appears above the form using the Error color and the plain-language message from 14_User Manual, Section 9 — never a raw "401" or stack trace.</w:t>
      </w:r>
    </w:p>
    <w:p>
      <w:pPr>
        <w:pStyle w:val="Heading3"/>
        <w:bidi w:val="0"/>
        <w:jc w:val="left"/>
        <w:rPr/>
      </w:pPr>
      <w:r>
        <w:rPr/>
        <w:t>6.2 Group Dashboard (Group-level roles)</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[Logo] Morise Holdings Limited [Search] [User: Name v]|</w:t>
        <w:br/>
        <w:t>+---------------+--------------------------------------------------+</w:t>
        <w:br/>
        <w:t>| Dashboard | GROUP DASHBOARD |</w:t>
        <w:br/>
        <w:t>| Companies | +---------+ +---------+ +---------+ +---------+ |</w:t>
        <w:br/>
        <w:t>| Users &amp; Roles | |Companies| |Branches | |Employees| |Customers| |</w:t>
        <w:br/>
        <w:t>| Employees | | 12 | | 34 | | 210 | | 88 | |</w:t>
        <w:br/>
        <w:t>| Customers | +---------+ +---------+ +---------+ +---------+ |</w:t>
        <w:br/>
        <w:t>| Suppliers | |</w:t>
        <w:br/>
        <w:t>| Products | +----------------------+ +--------------------+|</w:t>
        <w:br/>
        <w:t>| Accounting | | Chart of Accounts / | | Recent Activity ||</w:t>
        <w:br/>
        <w:t>| Audit Trail | | Trial Balance Summary| | (audit feed) ||</w:t>
        <w:br/>
        <w:t>| | | (per company) | | - J.Doe posted... ||</w:t>
        <w:br/>
        <w:t>| | +----------------------+ | - A.Smith created..|</w:t>
        <w:br/>
        <w:t>| | +--------------------+|</w:t>
        <w:br/>
        <w:t xml:space="preserve">+---------------+--------------------------------------------------+ </w:t>
      </w:r>
    </w:p>
    <w:p>
      <w:pPr>
        <w:pStyle w:val="Heading3"/>
        <w:bidi w:val="0"/>
        <w:jc w:val="left"/>
        <w:rPr/>
      </w:pPr>
      <w:r>
        <w:rPr/>
        <w:t>6.3 Subsidiary Dashboard (branch/subsidiary-scoped roles)</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[Logo] Morise Holdings Limited — Subsidiary A [User: Name v]|</w:t>
        <w:br/>
        <w:t>+---------------+--------------------------------------------------+</w:t>
        <w:br/>
        <w:t>| Dashboard | SUBSIDIARY A DASHBOARD |</w:t>
        <w:br/>
        <w:t>| Employees | (only Subsidiary A's data — no Group totals, |</w:t>
        <w:br/>
        <w:t>| Customers | no other subsidiary visible anywhere in the UI)|</w:t>
        <w:br/>
        <w:t>| Suppliers | |</w:t>
        <w:br/>
        <w:t>| Products | +---------+ +---------+ +---------+ |</w:t>
        <w:br/>
        <w:t>| Accounting | |Employees| |Customers| |Suppliers| |</w:t>
        <w:br/>
        <w:t>| | | 18 | | 9 | | 6 | |</w:t>
        <w:br/>
        <w:t>| | +---------+ +---------+ +---------+ |</w:t>
        <w:br/>
        <w:t xml:space="preserve">+---------------+--------------------------------------------------+ </w:t>
      </w:r>
    </w:p>
    <w:p>
      <w:pPr>
        <w:pStyle w:val="BodyText"/>
        <w:bidi w:val="0"/>
        <w:jc w:val="left"/>
        <w:rPr/>
      </w:pPr>
      <w:r>
        <w:rPr>
          <w:b/>
        </w:rPr>
        <w:t>Note:</w:t>
      </w:r>
      <w:r>
        <w:rPr/>
        <w:t xml:space="preserve"> this is not a filtered view of the Group Dashboard — a subsidiary-scoped user never sees Group-level navigation items (Companies, Users &amp; Roles, Audit Trail) at all, per Section 5's visibility rule.</w:t>
      </w:r>
    </w:p>
    <w:p>
      <w:pPr>
        <w:pStyle w:val="Heading3"/>
        <w:bidi w:val="0"/>
        <w:jc w:val="left"/>
        <w:rPr/>
      </w:pPr>
      <w:r>
        <w:rPr/>
        <w:t>6.4 List Pattern (example: Employees)</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Employees [ + New Employee ] |</w:t>
        <w:br/>
        <w:t>+----------------------------------------------------------------+</w:t>
        <w:br/>
        <w:t>| Filter: Company [ v ] Branch [ v ] Department [ v ] Status[v]|</w:t>
        <w:br/>
        <w:t>+----------------------------------------------------------------+</w:t>
        <w:br/>
        <w:t>| Employee # | Name | Department | Branch | Status |</w:t>
        <w:br/>
        <w:t>|-------------|---------------|-------------|----------|---------|</w:t>
        <w:br/>
        <w:t>| EMP-0001 | Jane Doe | Finance | Kira HQ | Active |</w:t>
        <w:br/>
        <w:t>| EMP-0002 | John Okello | Operations | Branch 2 | Active |</w:t>
        <w:br/>
        <w:t>| EMP-0003 | Mary Nakato | HR | Kira HQ | Inactive|</w:t>
        <w:br/>
        <w:t>+----------------------------------------------------------------+</w:t>
        <w:br/>
        <w:t>| [&lt; Prev] Page 1 of 8 [Next&gt;]|</w:t>
        <w:br/>
        <w:t xml:space="preserve">+----------------------------------------------------------------+ </w:t>
      </w:r>
    </w:p>
    <w:p>
      <w:pPr>
        <w:pStyle w:val="BodyText"/>
        <w:bidi w:val="0"/>
        <w:jc w:val="left"/>
        <w:rPr/>
      </w:pPr>
      <w:r>
        <w:rPr/>
        <w:t>This exact pattern (filter bar → sortable table → pagination) is reused for Companies, Users, Customers, Suppliers, Products, Chart of Accounts and Journal Entries — only the columns and filters change, per 09_API Specification, Section 2.4's shared pagination/filtering convention.</w:t>
      </w:r>
    </w:p>
    <w:p>
      <w:pPr>
        <w:pStyle w:val="Heading3"/>
        <w:bidi w:val="0"/>
        <w:jc w:val="left"/>
        <w:rPr/>
      </w:pPr>
      <w:r>
        <w:rPr/>
        <w:t>6.5 Detail/Edit Form Pattern (example: New Employee)</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New Employee [Cancel] [ Save ] |</w:t>
        <w:br/>
        <w:t>+----------------------------------------------------------------+</w:t>
        <w:br/>
        <w:t>| Identification |</w:t>
        <w:br/>
        <w:t>| Employee Number [___________] National ID [___________] |</w:t>
        <w:br/>
        <w:t>| First Name [______________] Last Name [______________] |</w:t>
        <w:br/>
        <w:t>| |</w:t>
        <w:br/>
        <w:t>| Assignment |</w:t>
        <w:br/>
        <w:t>| Company [ v ] Branch [ v ] Department [ v ] |</w:t>
        <w:br/>
        <w:t>| Job Title [____________________] Start Date [__/__/____] |</w:t>
        <w:br/>
        <w:t>| |</w:t>
        <w:br/>
        <w:t>| Bank &amp; Tax (visible only if your role permits — SRS FR-USER-08)|</w:t>
        <w:br/>
        <w:t>| Bank Name [____________] Account Number [****restricted***] |</w:t>
        <w:br/>
        <w:t>| |</w:t>
        <w:br/>
        <w:t>| Next of Kin / Emergency Contact |</w:t>
        <w:br/>
        <w:t>| Name [____________] Phone [____________] |</w:t>
        <w:br/>
        <w:t>| |</w:t>
        <w:br/>
        <w:t>| Documents [ Upload Document ]|</w:t>
        <w:br/>
        <w:t xml:space="preserve">+----------------------------------------------------------------+ </w:t>
      </w:r>
    </w:p>
    <w:p>
      <w:pPr>
        <w:pStyle w:val="BodyText"/>
        <w:bidi w:val="0"/>
        <w:jc w:val="left"/>
        <w:rPr/>
      </w:pPr>
      <w:r>
        <w:rPr/>
        <w:t>Required fields are marked and validated inline as the user leaves each field, not only on Save — this surfaces the plain-language validation messages (14_User Manual, Section 9) as early as possible rather than after a full-form submission.</w:t>
      </w:r>
    </w:p>
    <w:p>
      <w:pPr>
        <w:pStyle w:val="Heading3"/>
        <w:bidi w:val="0"/>
        <w:jc w:val="left"/>
        <w:rPr/>
      </w:pPr>
      <w:r>
        <w:rPr/>
        <w:t>6.6 Journal Entry Form (unique balance-validation UI)</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New Journal Entry [Cancel] [Post] |</w:t>
        <w:br/>
        <w:t>+----------------------------------------------------------------+</w:t>
        <w:br/>
        <w:t>| Company [ v ] Period [ v: FY2026-Q1 (Open) ] Date [__/__/__]|</w:t>
        <w:br/>
        <w:t>| Description [_______________________________________________] |</w:t>
        <w:br/>
        <w:t>+----------------------------------------------------------------+</w:t>
        <w:br/>
        <w:t>| Account | Debit | Credit | |</w:t>
        <w:br/>
        <w:t>|---------------------|----------------|----------------|---------|</w:t>
        <w:br/>
        <w:t>| [ v Cash ] | 5,000,000.00 | | [ x ] |</w:t>
        <w:br/>
        <w:t>| [ v Retained Earn.] | | 5,000,000.00 | [ x ] |</w:t>
        <w:br/>
        <w:t>+----------------------------------------------------------------+</w:t>
        <w:br/>
        <w:t>| [ + Add Line ] |</w:t>
        <w:br/>
        <w:t>+----------------------------------------------------------------+</w:t>
        <w:br/>
        <w:t>| Total Debits: 5,000,000.00 Total Credits: 5,000,000.00 |</w:t>
        <w:br/>
        <w:t>| Status: [OK] Balanced — ready to post |</w:t>
        <w:br/>
        <w:t xml:space="preserve">+----------------------------------------------------------------+ </w:t>
      </w:r>
    </w:p>
    <w:p>
      <w:pPr>
        <w:pStyle w:val="BodyText"/>
        <w:bidi w:val="0"/>
        <w:jc w:val="left"/>
        <w:rPr/>
      </w:pPr>
      <w:r>
        <w:rPr>
          <w:b/>
        </w:rPr>
        <w:t>Balance indicator behavior:</w:t>
      </w:r>
      <w:r>
        <w:rPr/>
        <w:t xml:space="preserve"> the totals row recalculates live as line items change, and the status line switches between a Success-colored "Balanced — ready to post" and an Error-colored "Unbalanced — debits and credits differ by X" — with the </w:t>
      </w:r>
      <w:r>
        <w:rPr>
          <w:b/>
        </w:rPr>
        <w:t>Post</w:t>
      </w:r>
      <w:r>
        <w:rPr/>
        <w:t xml:space="preserve"> button disabled while unbalanced, so the API's UNBALANCED_ENTRY rejection (09_API Specification, Section 2.5) is a safety net the user should rarely actually trigger, not their first indication of a problem.</w:t>
      </w:r>
    </w:p>
    <w:p>
      <w:pPr>
        <w:pStyle w:val="Heading3"/>
        <w:bidi w:val="0"/>
        <w:jc w:val="left"/>
        <w:rPr/>
      </w:pPr>
      <w:r>
        <w:rPr/>
        <w:t>6.7 Audit Trail</w:t>
      </w:r>
    </w:p>
    <w:p>
      <w:pPr>
        <w:pStyle w:val="BodyText"/>
        <w:bidi w:val="0"/>
        <w:spacing w:before="150" w:after="150"/>
        <w:ind w:hanging="0" w:left="150" w:right="150"/>
        <w:jc w:val="left"/>
        <w:rPr>
          <w:rFonts w:ascii="Courier New;monospace" w:hAnsi="Courier New;monospace"/>
          <w:sz w:val="19"/>
          <w:bdr w:val="single" w:sz="2" w:space="9" w:color="C7D3E8"/>
          <w:shd w:fill="F8F9FB" w:val="clear"/>
        </w:rPr>
      </w:pPr>
      <w:r>
        <w:rPr>
          <w:rFonts w:ascii="Courier New;monospace" w:hAnsi="Courier New;monospace"/>
          <w:sz w:val="19"/>
          <w:bdr w:val="single" w:sz="2" w:space="9" w:color="C7D3E8"/>
          <w:shd w:fill="F8F9FB" w:val="clear"/>
        </w:rPr>
        <w:t>+----------------------------------------------------------------+</w:t>
        <w:br/>
        <w:t>| Audit Trail |</w:t>
        <w:br/>
        <w:t>+----------------------------------------------------------------+</w:t>
        <w:br/>
        <w:t>| User [ v ] Date From [__/__/__] To [__/__/__] Company [ v ] |</w:t>
        <w:br/>
        <w:t>| Action [ v: All / Create / Update / Delete / Approve / Denied ] |</w:t>
        <w:br/>
        <w:t>+----------------------------------------------------------------+</w:t>
        <w:br/>
        <w:t>| Time | User | Action | Entity | ... |</w:t>
        <w:br/>
        <w:t>|------------------|-----------|---------|-----------------|------|</w:t>
        <w:br/>
        <w:t>| 2026-08-18 09:15 | J. Doe | Create | Employee EMP-42 | [&gt;] |</w:t>
        <w:br/>
        <w:t>| 2026-08-18 09:20 | J. Doe | Update | Employee EMP-42 | [&gt;] |</w:t>
        <w:br/>
        <w:t>| 2026-08-18 09:31 | A. Smith | Denied | Journal Entry | [&gt;] |</w:t>
        <w:br/>
        <w:t xml:space="preserve">+----------------------------------------------------------------+ </w:t>
      </w:r>
    </w:p>
    <w:p>
      <w:pPr>
        <w:pStyle w:val="BodyText"/>
        <w:bidi w:val="0"/>
        <w:jc w:val="left"/>
        <w:rPr/>
      </w:pPr>
      <w:r>
        <w:rPr/>
        <w:t>Clicking the expand arrow [&gt;] on any row shows the before/after values captured in that event (08_Database Design Document, Section 10.1) — this is a read-only view; per FR-AUDIT-03 there is no edit or delete action anywhere on this screen, by design, not by omission.</w:t>
      </w:r>
    </w:p>
    <w:p>
      <w:pPr>
        <w:pStyle w:val="Heading2"/>
        <w:bidi w:val="0"/>
        <w:jc w:val="left"/>
        <w:rPr/>
      </w:pPr>
      <w:r>
        <w:rPr/>
        <w:t>7. Role-Based UI Variations</w:t>
      </w:r>
    </w:p>
    <w:tbl>
      <w:tblPr>
        <w:tblW w:w="11339" w:type="dxa"/>
        <w:jc w:val="left"/>
        <w:tblInd w:w="28" w:type="dxa"/>
        <w:tblLayout w:type="fixed"/>
        <w:tblCellMar>
          <w:top w:w="28" w:type="dxa"/>
          <w:left w:w="28" w:type="dxa"/>
          <w:bottom w:w="28" w:type="dxa"/>
          <w:right w:w="28" w:type="dxa"/>
        </w:tblCellMar>
      </w:tblPr>
      <w:tblGrid>
        <w:gridCol w:w="4090"/>
        <w:gridCol w:w="7249"/>
      </w:tblGrid>
      <w:tr>
        <w:trPr/>
        <w:tc>
          <w:tcPr>
            <w:tcW w:w="4090" w:type="dxa"/>
            <w:tcBorders/>
            <w:vAlign w:val="center"/>
          </w:tcPr>
          <w:p>
            <w:pPr>
              <w:pStyle w:val="TableHeading"/>
              <w:suppressLineNumbers/>
              <w:shd w:fill="1F3864" w:val="clear"/>
              <w:bidi w:val="0"/>
              <w:spacing w:before="0" w:after="283"/>
              <w:jc w:val="left"/>
              <w:rPr/>
            </w:pPr>
            <w:r>
              <w:rPr/>
              <w:t>Role Category</w:t>
            </w:r>
          </w:p>
        </w:tc>
        <w:tc>
          <w:tcPr>
            <w:tcW w:w="7249" w:type="dxa"/>
            <w:tcBorders/>
            <w:vAlign w:val="center"/>
          </w:tcPr>
          <w:p>
            <w:pPr>
              <w:pStyle w:val="TableHeading"/>
              <w:suppressLineNumbers/>
              <w:shd w:fill="1F3864" w:val="clear"/>
              <w:bidi w:val="0"/>
              <w:spacing w:before="0" w:after="283"/>
              <w:jc w:val="left"/>
              <w:rPr/>
            </w:pPr>
            <w:r>
              <w:rPr/>
              <w:t>What Differs in the UI</w:t>
            </w:r>
          </w:p>
        </w:tc>
      </w:tr>
      <w:tr>
        <w:trPr/>
        <w:tc>
          <w:tcPr>
            <w:tcW w:w="4090" w:type="dxa"/>
            <w:tcBorders/>
            <w:vAlign w:val="center"/>
          </w:tcPr>
          <w:p>
            <w:pPr>
              <w:pStyle w:val="TableContents"/>
              <w:bidi w:val="0"/>
              <w:spacing w:before="0" w:after="283"/>
              <w:jc w:val="left"/>
              <w:rPr/>
            </w:pPr>
            <w:r>
              <w:rPr/>
              <w:t>Group-level (CEO, MD, Board Member, Super Admin)</w:t>
            </w:r>
          </w:p>
        </w:tc>
        <w:tc>
          <w:tcPr>
            <w:tcW w:w="7249" w:type="dxa"/>
            <w:tcBorders/>
            <w:vAlign w:val="center"/>
          </w:tcPr>
          <w:p>
            <w:pPr>
              <w:pStyle w:val="TableContents"/>
              <w:bidi w:val="0"/>
              <w:spacing w:before="0" w:after="283"/>
              <w:jc w:val="left"/>
              <w:rPr/>
            </w:pPr>
            <w:r>
              <w:rPr/>
              <w:t>Full navigation including Companies, Users &amp; Roles, Audit Trail; Group Dashboard (6.2)</w:t>
            </w:r>
          </w:p>
        </w:tc>
      </w:tr>
      <w:tr>
        <w:trPr/>
        <w:tc>
          <w:tcPr>
            <w:tcW w:w="4090" w:type="dxa"/>
            <w:tcBorders/>
            <w:vAlign w:val="center"/>
          </w:tcPr>
          <w:p>
            <w:pPr>
              <w:pStyle w:val="TableContents"/>
              <w:bidi w:val="0"/>
              <w:spacing w:before="0" w:after="283"/>
              <w:jc w:val="left"/>
              <w:rPr/>
            </w:pPr>
            <w:r>
              <w:rPr/>
              <w:t>Finance (CFO, Finance Manager, Accountant)</w:t>
            </w:r>
          </w:p>
        </w:tc>
        <w:tc>
          <w:tcPr>
            <w:tcW w:w="7249" w:type="dxa"/>
            <w:tcBorders/>
            <w:vAlign w:val="center"/>
          </w:tcPr>
          <w:p>
            <w:pPr>
              <w:pStyle w:val="TableContents"/>
              <w:bidi w:val="0"/>
              <w:spacing w:before="0" w:after="283"/>
              <w:jc w:val="left"/>
              <w:rPr/>
            </w:pPr>
            <w:r>
              <w:rPr/>
              <w:t>Accounting navigation group visible and editable; Dashboard includes the accounting summary widget</w:t>
            </w:r>
          </w:p>
        </w:tc>
      </w:tr>
      <w:tr>
        <w:trPr/>
        <w:tc>
          <w:tcPr>
            <w:tcW w:w="4090" w:type="dxa"/>
            <w:tcBorders/>
            <w:vAlign w:val="center"/>
          </w:tcPr>
          <w:p>
            <w:pPr>
              <w:pStyle w:val="TableContents"/>
              <w:bidi w:val="0"/>
              <w:spacing w:before="0" w:after="283"/>
              <w:jc w:val="left"/>
              <w:rPr/>
            </w:pPr>
            <w:r>
              <w:rPr/>
              <w:t>HR Manager</w:t>
            </w:r>
          </w:p>
        </w:tc>
        <w:tc>
          <w:tcPr>
            <w:tcW w:w="7249" w:type="dxa"/>
            <w:tcBorders/>
            <w:vAlign w:val="center"/>
          </w:tcPr>
          <w:p>
            <w:pPr>
              <w:pStyle w:val="TableContents"/>
              <w:bidi w:val="0"/>
              <w:spacing w:before="0" w:after="283"/>
              <w:jc w:val="left"/>
              <w:rPr/>
            </w:pPr>
            <w:r>
              <w:rPr/>
              <w:t>Employees navigation group visible and editable; bank/tax fields visible (FR-USER-08 permission)</w:t>
            </w:r>
          </w:p>
        </w:tc>
      </w:tr>
      <w:tr>
        <w:trPr/>
        <w:tc>
          <w:tcPr>
            <w:tcW w:w="4090" w:type="dxa"/>
            <w:tcBorders/>
            <w:vAlign w:val="center"/>
          </w:tcPr>
          <w:p>
            <w:pPr>
              <w:pStyle w:val="TableContents"/>
              <w:bidi w:val="0"/>
              <w:spacing w:before="0" w:after="283"/>
              <w:jc w:val="left"/>
              <w:rPr/>
            </w:pPr>
            <w:r>
              <w:rPr/>
              <w:t>Branch Manager / subsidiary-scoped roles</w:t>
            </w:r>
          </w:p>
        </w:tc>
        <w:tc>
          <w:tcPr>
            <w:tcW w:w="7249" w:type="dxa"/>
            <w:tcBorders/>
            <w:vAlign w:val="center"/>
          </w:tcPr>
          <w:p>
            <w:pPr>
              <w:pStyle w:val="TableContents"/>
              <w:bidi w:val="0"/>
              <w:spacing w:before="0" w:after="283"/>
              <w:jc w:val="left"/>
              <w:rPr/>
            </w:pPr>
            <w:r>
              <w:rPr/>
              <w:t>Subsidiary Dashboard (6.3); no Group-level navigation items at all</w:t>
            </w:r>
          </w:p>
        </w:tc>
      </w:tr>
      <w:tr>
        <w:trPr/>
        <w:tc>
          <w:tcPr>
            <w:tcW w:w="4090" w:type="dxa"/>
            <w:tcBorders/>
            <w:vAlign w:val="center"/>
          </w:tcPr>
          <w:p>
            <w:pPr>
              <w:pStyle w:val="TableContents"/>
              <w:bidi w:val="0"/>
              <w:spacing w:before="0" w:after="283"/>
              <w:jc w:val="left"/>
              <w:rPr/>
            </w:pPr>
            <w:r>
              <w:rPr/>
              <w:t>Auditor</w:t>
            </w:r>
          </w:p>
        </w:tc>
        <w:tc>
          <w:tcPr>
            <w:tcW w:w="7249" w:type="dxa"/>
            <w:tcBorders/>
            <w:vAlign w:val="center"/>
          </w:tcPr>
          <w:p>
            <w:pPr>
              <w:pStyle w:val="TableContents"/>
              <w:bidi w:val="0"/>
              <w:spacing w:before="0" w:after="283"/>
              <w:jc w:val="left"/>
              <w:rPr/>
            </w:pPr>
            <w:r>
              <w:rPr/>
              <w:t>Audit Trail visible; most other modules visible read-only, not editable</w:t>
            </w:r>
          </w:p>
        </w:tc>
      </w:tr>
      <w:tr>
        <w:trPr/>
        <w:tc>
          <w:tcPr>
            <w:tcW w:w="4090" w:type="dxa"/>
            <w:tcBorders/>
            <w:vAlign w:val="center"/>
          </w:tcPr>
          <w:p>
            <w:pPr>
              <w:pStyle w:val="TableContents"/>
              <w:bidi w:val="0"/>
              <w:spacing w:before="0" w:after="283"/>
              <w:jc w:val="left"/>
              <w:rPr/>
            </w:pPr>
            <w:r>
              <w:rPr/>
              <w:t>Employee (general)</w:t>
            </w:r>
          </w:p>
        </w:tc>
        <w:tc>
          <w:tcPr>
            <w:tcW w:w="7249" w:type="dxa"/>
            <w:tcBorders/>
            <w:vAlign w:val="center"/>
          </w:tcPr>
          <w:p>
            <w:pPr>
              <w:pStyle w:val="TableContents"/>
              <w:bidi w:val="0"/>
              <w:spacing w:before="0" w:after="283"/>
              <w:jc w:val="left"/>
              <w:rPr/>
            </w:pPr>
            <w:r>
              <w:rPr/>
              <w:t>My Profile only; no other module navigation</w:t>
            </w:r>
          </w:p>
        </w:tc>
      </w:tr>
    </w:tbl>
    <w:p>
      <w:pPr>
        <w:pStyle w:val="Heading2"/>
        <w:bidi w:val="0"/>
        <w:jc w:val="left"/>
        <w:rPr/>
      </w:pPr>
      <w:r>
        <w:rPr/>
        <w:t>8. Accessibility and Responsiveness</w:t>
      </w:r>
    </w:p>
    <w:p>
      <w:pPr>
        <w:pStyle w:val="BodyText"/>
        <w:numPr>
          <w:ilvl w:val="0"/>
          <w:numId w:val="3"/>
        </w:numPr>
        <w:tabs>
          <w:tab w:val="clear" w:pos="1134"/>
          <w:tab w:val="left" w:pos="709" w:leader="none"/>
        </w:tabs>
        <w:bidi w:val="0"/>
        <w:spacing w:before="0" w:after="0"/>
        <w:ind w:hanging="283" w:left="709"/>
        <w:jc w:val="left"/>
        <w:rPr/>
      </w:pPr>
      <w:r>
        <w:rPr/>
        <w:t xml:space="preserve">All interactive elements reachable and operable by keyboard, not only mouse/touch (supports NFR-12's desktop/tablet requirement and general accessibility good practice, even though full WCAG conformance is not yet a stated Phase 1 requirement in the SRS). </w:t>
      </w:r>
    </w:p>
    <w:p>
      <w:pPr>
        <w:pStyle w:val="BodyText"/>
        <w:numPr>
          <w:ilvl w:val="0"/>
          <w:numId w:val="3"/>
        </w:numPr>
        <w:tabs>
          <w:tab w:val="clear" w:pos="1134"/>
          <w:tab w:val="left" w:pos="709" w:leader="none"/>
        </w:tabs>
        <w:bidi w:val="0"/>
        <w:spacing w:before="0" w:after="0"/>
        <w:ind w:hanging="283" w:left="709"/>
        <w:jc w:val="left"/>
        <w:rPr/>
      </w:pPr>
      <w:r>
        <w:rPr/>
        <w:t xml:space="preserve">Status badges (Section 3.4) never rely on color alone — each carries a text label ("Active," "Draft," "Blocked") so the interface remains usable for colorblind users. </w:t>
      </w:r>
    </w:p>
    <w:p>
      <w:pPr>
        <w:pStyle w:val="BodyText"/>
        <w:numPr>
          <w:ilvl w:val="0"/>
          <w:numId w:val="3"/>
        </w:numPr>
        <w:tabs>
          <w:tab w:val="clear" w:pos="1134"/>
          <w:tab w:val="left" w:pos="709" w:leader="none"/>
        </w:tabs>
        <w:bidi w:val="0"/>
        <w:ind w:hanging="283" w:left="709"/>
        <w:jc w:val="left"/>
        <w:rPr/>
      </w:pPr>
      <w:r>
        <w:rPr/>
        <w:t xml:space="preserve">Tables scroll horizontally within their own container on narrower/tablet viewports rather than compressing columns illegibly, consistent with the wide-content handling already used throughout this project's own documentation. </w:t>
      </w:r>
    </w:p>
    <w:p>
      <w:pPr>
        <w:pStyle w:val="Heading2"/>
        <w:bidi w:val="0"/>
        <w:jc w:val="left"/>
        <w:rPr/>
      </w:pPr>
      <w:r>
        <w:rPr/>
        <w:t>9. Open Items for the Development Team</w:t>
      </w:r>
    </w:p>
    <w:tbl>
      <w:tblPr>
        <w:tblW w:w="11339" w:type="dxa"/>
        <w:jc w:val="left"/>
        <w:tblInd w:w="28" w:type="dxa"/>
        <w:tblLayout w:type="fixed"/>
        <w:tblCellMar>
          <w:top w:w="28" w:type="dxa"/>
          <w:left w:w="28" w:type="dxa"/>
          <w:bottom w:w="28" w:type="dxa"/>
          <w:right w:w="28" w:type="dxa"/>
        </w:tblCellMar>
      </w:tblPr>
      <w:tblGrid>
        <w:gridCol w:w="7144"/>
        <w:gridCol w:w="4195"/>
      </w:tblGrid>
      <w:tr>
        <w:trPr/>
        <w:tc>
          <w:tcPr>
            <w:tcW w:w="7144" w:type="dxa"/>
            <w:tcBorders/>
            <w:vAlign w:val="center"/>
          </w:tcPr>
          <w:p>
            <w:pPr>
              <w:pStyle w:val="TableHeading"/>
              <w:suppressLineNumbers/>
              <w:shd w:fill="1F3864" w:val="clear"/>
              <w:bidi w:val="0"/>
              <w:spacing w:before="0" w:after="283"/>
              <w:jc w:val="left"/>
              <w:rPr/>
            </w:pPr>
            <w:r>
              <w:rPr/>
              <w:t>Item</w:t>
            </w:r>
          </w:p>
        </w:tc>
        <w:tc>
          <w:tcPr>
            <w:tcW w:w="4195" w:type="dxa"/>
            <w:tcBorders/>
            <w:vAlign w:val="center"/>
          </w:tcPr>
          <w:p>
            <w:pPr>
              <w:pStyle w:val="TableHeading"/>
              <w:suppressLineNumbers/>
              <w:shd w:fill="1F3864" w:val="clear"/>
              <w:bidi w:val="0"/>
              <w:spacing w:before="0" w:after="283"/>
              <w:jc w:val="left"/>
              <w:rPr/>
            </w:pPr>
            <w:r>
              <w:rPr/>
              <w:t>Status</w:t>
            </w:r>
          </w:p>
        </w:tc>
      </w:tr>
      <w:tr>
        <w:trPr/>
        <w:tc>
          <w:tcPr>
            <w:tcW w:w="7144" w:type="dxa"/>
            <w:tcBorders/>
            <w:vAlign w:val="center"/>
          </w:tcPr>
          <w:p>
            <w:pPr>
              <w:pStyle w:val="TableContents"/>
              <w:bidi w:val="0"/>
              <w:spacing w:before="0" w:after="283"/>
              <w:jc w:val="left"/>
              <w:rPr/>
            </w:pPr>
            <w:r>
              <w:rPr/>
              <w:t>Final visual polish (exact spacing, icon set, component library choice)</w:t>
            </w:r>
          </w:p>
        </w:tc>
        <w:tc>
          <w:tcPr>
            <w:tcW w:w="4195" w:type="dxa"/>
            <w:tcBorders/>
            <w:vAlign w:val="center"/>
          </w:tcPr>
          <w:p>
            <w:pPr>
              <w:pStyle w:val="TableContents"/>
              <w:bidi w:val="0"/>
              <w:spacing w:before="0" w:after="283"/>
              <w:jc w:val="left"/>
              <w:rPr/>
            </w:pPr>
            <w:r>
              <w:rPr/>
              <w:t>Left to the frontend developer within Section 3's style guide constraints</w:t>
            </w:r>
          </w:p>
        </w:tc>
      </w:tr>
      <w:tr>
        <w:trPr/>
        <w:tc>
          <w:tcPr>
            <w:tcW w:w="7144" w:type="dxa"/>
            <w:tcBorders/>
            <w:vAlign w:val="center"/>
          </w:tcPr>
          <w:p>
            <w:pPr>
              <w:pStyle w:val="TableContents"/>
              <w:bidi w:val="0"/>
              <w:spacing w:before="0" w:after="283"/>
              <w:jc w:val="left"/>
              <w:rPr/>
            </w:pPr>
            <w:r>
              <w:rPr/>
              <w:t>Confirmed brand colors, if the Board wants to diverge from Section 3.1's proposed palette</w:t>
            </w:r>
          </w:p>
        </w:tc>
        <w:tc>
          <w:tcPr>
            <w:tcW w:w="4195" w:type="dxa"/>
            <w:tcBorders/>
            <w:vAlign w:val="center"/>
          </w:tcPr>
          <w:p>
            <w:pPr>
              <w:pStyle w:val="TableContents"/>
              <w:bidi w:val="0"/>
              <w:spacing w:before="0" w:after="283"/>
              <w:jc w:val="left"/>
              <w:rPr/>
            </w:pPr>
            <w:r>
              <w:rPr/>
              <w:t>Open — confirm with the Board before final visual implementation</w:t>
            </w:r>
          </w:p>
        </w:tc>
      </w:tr>
      <w:tr>
        <w:trPr/>
        <w:tc>
          <w:tcPr>
            <w:tcW w:w="7144" w:type="dxa"/>
            <w:tcBorders/>
            <w:vAlign w:val="center"/>
          </w:tcPr>
          <w:p>
            <w:pPr>
              <w:pStyle w:val="TableContents"/>
              <w:bidi w:val="0"/>
              <w:spacing w:before="0" w:after="283"/>
              <w:jc w:val="left"/>
              <w:rPr/>
            </w:pPr>
            <w:r>
              <w:rPr/>
              <w:t>Detailed wireframes for screens not covered in Section 6 (Companies, Users, Customers, Suppliers, Products, Chart of Accounts, Financial Periods, Trial Balance report)</w:t>
            </w:r>
          </w:p>
        </w:tc>
        <w:tc>
          <w:tcPr>
            <w:tcW w:w="4195" w:type="dxa"/>
            <w:tcBorders/>
            <w:vAlign w:val="center"/>
          </w:tcPr>
          <w:p>
            <w:pPr>
              <w:pStyle w:val="TableContents"/>
              <w:bidi w:val="0"/>
              <w:spacing w:before="0" w:after="283"/>
              <w:jc w:val="left"/>
              <w:rPr/>
            </w:pPr>
            <w:r>
              <w:rPr/>
              <w:t>Follow the List/Detail patterns in Sections 6.4–6.5 directly; no new pattern is needed</w:t>
            </w:r>
          </w:p>
        </w:tc>
      </w:tr>
    </w:tbl>
    <w:p>
      <w:pPr>
        <w:pStyle w:val="Heading2"/>
        <w:bidi w:val="0"/>
        <w:jc w:val="left"/>
        <w:rPr/>
      </w:pPr>
      <w:r>
        <w:rPr/>
        <w:t>10. Approval</w:t>
      </w:r>
    </w:p>
    <w:p>
      <w:pPr>
        <w:pStyle w:val="BodyText"/>
        <w:bidi w:val="0"/>
        <w:jc w:val="left"/>
        <w:rPr/>
      </w:pPr>
      <w:r>
        <w:rPr/>
        <w:t>Submitted for review by the engaged development team/technology partner as the Phase 1 interface design baseline — the last of the Group's originally required 17 project documents.</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(Section 25, item 7); 04_Software Requirements Specification (Sections 2.3, 5.6, 7); 06_User Stories, Epics and Product Backlog (Section 2 epics); 09_API Specification (Section 2.4 pagination/filtering, Section 2.5 error codes); 14_User Manual (Section 9, error message wording reused verbatim); 08_Database Design Document (Section 10.1, audit event structure). </w:t>
      </w:r>
    </w:p>
    <w:p>
      <w:pPr>
        <w:pStyle w:val="Heading1"/>
      </w:pPr>
      <w:r>
        <w:t>11. Implementation Status Update (18 August 2026)</w:t>
      </w:r>
    </w:p>
    <w:p>
      <w:r>
        <w:t>Four of Section 4's screen inventory are now implemented as a real, connected React frontend rather than only the Administrator mockups this document's wireframes were translated into: Login (6.1), Group Dashboard's Companies equivalent (Company list/detail/hierarchy — Section 6.4/6.5 pattern), Users &amp; Roles (6.4/6.5 pattern, with live role/scope assignment), and My Profile (self-service variant).</w:t>
      </w:r>
    </w:p>
    <w:p>
      <w:r>
        <w:t>The Style Guide (Section 3) — the Navy/Blue palette, system font stack, 8px spacing grid, and status-badge convention — is carried through unchanged from the Administrator mockups into the working frontend, so the two are visually consistent. Section 5's navigation-visibility rule (items a role doesn't grant are hidden, not shown-but-disabled) is followed for the modules that exist; modules that don't exist yet (Dashboard, Employees, Accounting, Audit Trail) are shown disabled/greyed rather than hidden, specifically so it's visible in the UI itself that they're pending, not missing by accident — a deliberate departure from Section 5's rule for this interim state only.</w:t>
      </w:r>
    </w:p>
    <w:p>
      <w:r>
        <w:t>The remaining screens in Section 4 (Branch/Department management as standalone screens, Employee/Customer/Supplier/Product/Chart of Accounts/Journal Entry/Financial Period/Trial Balance/Audit Trail) exist only as Administrator mockups, not as working screens. Code lives in mbms/, alongside this documentation set (docx/) and the Administrator/Customer mockups (screenshots/). See mbms/README.md for exact run instructions and seeded demo credentials.</w:t>
      </w:r>
    </w:p>
    <w:p>
      <w:pPr>
        <w:pStyle w:val="Heading1"/>
      </w:pPr>
      <w:r>
        <w:t>12. Implementation Status Update 2 (18 August 2026)</w:t>
      </w:r>
    </w:p>
    <w:p>
      <w:r>
        <w:t>Three more working screens beyond the previous update: Group Dashboard (6.2) and Subsidiary Dashboard (6.3) — both wireframed in this document and now implemented close to the letter, including 6.3's explicit note that a subsidiary-scoped user "never sees Group-level navigation items" (this build shows Dashboard/Companies/Employees/Accounting/Users to everyone but scopes the data within each, which is a narrower interpretation than 6.3's nav-hiding rule — flagged as a deviation, not silently matched) — plus an Employees list/detail pattern (6.4/6.5) and a new four-tab Accounting screen (Chart of Accounts / Journal Entries / Financial Periods / Trial Balance) that this document didn't wireframe explicitly but that follows the same List/Detail and Report patterns Section 4 says to use for unwireframed screens.</w:t>
      </w:r>
    </w:p>
    <w:p>
      <w:r>
        <w:t>The Journal Entry screen's balance indicator (6.6) is implemented per this document's spec: totals recalculate live as line items change, and the status line switches between Success-colored "Balanced" and reflects the API's real UNBALANCED_ENTRY rejection as a genuine safety net, not the only check.</w:t>
      </w:r>
    </w:p>
    <w:p>
      <w:r>
        <w:t>See mbms/README.md for exact run instructions and seeded demo credentials.</w:t>
      </w:r>
    </w:p>
    <w:p>
      <w:pPr>
        <w:pStyle w:val="Heading1"/>
      </w:pPr>
      <w:r>
        <w:t>13. Implementation Status Update 3 (18 August 2026)</w:t>
      </w:r>
    </w:p>
    <w:p>
      <w:r>
        <w:t>Two more List/Detail pattern (Section 6.4/6.5) screens implemented: Customers (with a Statement tab per Section 4's screen inventory, showing the empty-state honestly rather than fabricating transaction rows) and Suppliers (with the blacklist/unblacklist action this document's screen inventory names as part of the supplier detail pattern). Both follow the confirmed Style Guide (Section 3) without deviation — same badge conventions, same table/filter layout as every other List/Detail screen already built.</w:t>
      </w:r>
    </w:p>
    <w:p>
      <w:r>
        <w:t>See mbms/README.md for exact run instructions and seeded demo credentials.</w:t>
      </w:r>
    </w:p>
    <w:p>
      <w:pPr>
        <w:pStyle w:val="Heading1"/>
      </w:pPr>
      <w:r>
        <w:t>14. Implementation Status Update 4 (18 August 2026)</w:t>
      </w:r>
    </w:p>
    <w:p>
      <w:r>
        <w:t>A Products screen following the same List/Detail pattern as every other module built so far, plus an inline category-creation flow inside the New Product form — a UI pattern this document didn't specifically wireframe but that follows Section 2's clarity-over-decoration principle (create a category without leaving the product form) more directly than a separate Category management screen would have for Phase 1's scale. Every screen in Section 4's inventory that has a working backend now has a working screen; only the Audit Trail (6.7, wireframed) has no corresponding functional screen, since its backend doesn't exist.</w:t>
      </w:r>
    </w:p>
    <w:p>
      <w:r>
        <w:t>See mbms/README.md for exact run instructions and seeded demo credentials.</w:t>
      </w:r>
    </w:p>
    <w:p>
      <w:pPr>
        <w:pStyle w:val="Heading1"/>
      </w:pPr>
      <w:r>
        <w:t>15. Implementation Status Update 5 (18 August 2026) — Every Wireframed Screen Built</w:t>
      </w:r>
    </w:p>
    <w:p>
      <w:r>
        <w:t>The Audit Trail screen (6.7, wireframed in this document) is now implemented, matching the wireframe's structure closely: filter bar (user/date range/company/action), sortable table, and an expand arrow revealing before/after values — implemented here as an inline expanding row rather than a separate detail panel, a Phase-1-scale simplification of the same information this document's wireframe describes. Every screen Section 6 wireframes explicitly (6.1 Login, 6.2 Group Dashboard, 6.3 Subsidiary Dashboard, 6.4/6.5 List/Detail pattern, 6.6 Journal Entry, 6.7 Audit Trail) now has a working implementation, not just a mockup.</w:t>
      </w:r>
    </w:p>
    <w:p>
      <w:r>
        <w:t>See mbms/README.md for exact run instructions and seeded demo credentials.</w:t>
      </w:r>
    </w:p>
    <w:p>
      <w:pPr>
        <w:pStyle w:val="Heading1"/>
      </w:pPr>
      <w:r>
        <w:t>16. Implementation Status Update 6 (18 August 2026) — Users &amp; Roles Screen Extended</w:t>
      </w:r>
    </w:p>
    <w:p>
      <w:r>
        <w:t>The Users &amp; Roles screen (wireframed alongside the other list/detail screens in Section 6) gains two elements not previously wireframed in this document: a Direct Permissions panel (a select + grant button + removable badge list, visually matching the existing Assign Role panel's pattern) and two additional optional fields — branch and department UUID — on the scope-assignment form, which previously accepted only company. Both additions follow this document's existing visual language rather than introducing a new pattern.</w:t>
      </w:r>
    </w:p>
    <w:p>
      <w:r>
        <w:t>See mbms/README.md, "Sprint 1 verification pass", for the full detail and verification method.</w:t>
      </w:r>
    </w:p>
    <w:p>
      <w:pPr>
        <w:pStyle w:val="Heading1"/>
      </w:pPr>
      <w:r>
        <w:t>17. Implementation Status Update 7 (18 August 2026) — Company Form Extended</w:t>
      </w:r>
    </w:p>
    <w:p>
      <w:r>
        <w:t>The New Company screen (wireframed alongside the other create/edit forms in Section 6) gains three fields not previously wireframed in this document: Relationship (a select, conditionally shown), Ownership % and Logo URL — all following this document's existing form-field visual language rather than introducing a new pattern.</w:t>
      </w:r>
    </w:p>
    <w:p>
      <w:r>
        <w:t>See mbms/README.md, "Sprint 2 verification pass", for the full detail and verification method.</w:t>
      </w:r>
    </w:p>
    <w:p>
      <w:pPr>
        <w:pStyle w:val="Heading1"/>
      </w:pPr>
      <w:r>
        <w:t>18. Implementation Status Update 8 (18 August 2026) — Employee Form Extended</w:t>
      </w:r>
    </w:p>
    <w:p>
      <w:r>
        <w:t>The New Employee screen (wireframed in Section 6 alongside the other create/edit forms) is extended with a Job Description field, a Qualifications field, and two new sections (Next of Kin / Emergency Contact, Bank &amp; Tax) — all following this document's existing form-field and section-heading visual language.</w:t>
      </w:r>
    </w:p>
    <w:p>
      <w:r>
        <w:t>See mbms/README.md, "Sprint 3 verification pass", for the full detail and verification method.</w:t>
      </w:r>
    </w:p>
    <w:p>
      <w:pPr>
        <w:pStyle w:val="Heading1"/>
      </w:pPr>
      <w:r>
        <w:t>19. Implementation Status Update 9 (18 August 2026) — Supplier/Customer Forms Extended</w:t>
      </w:r>
    </w:p>
    <w:p>
      <w:r>
        <w:t>The New Supplier and New Customer screens (wireframed in Section 6) are extended with additional fields — Contact Email/Phone, Address, Contract and Bank Details sections for Suppliers; Email and Address for Customers — following this document's existing form-field and section-heading visual language.</w:t>
      </w:r>
    </w:p>
    <w:p>
      <w:r>
        <w:t>See mbms/README.md, "Sprint 4 verification pass", for the full detail and verification method.</w:t>
      </w:r>
    </w:p>
    <w:p>
      <w:pPr>
        <w:pStyle w:val="Heading1"/>
      </w:pPr>
      <w:r>
        <w:t>20. Implementation Status Update 10 (18 August 2026) — Product Form Extended</w:t>
      </w:r>
    </w:p>
    <w:p>
      <w:r>
        <w:t>The New Product screen (wireframed in Section 6) is extended with a Type selector and Barcode/Description fields, following this document's existing form-field visual language. No warehouse or stock-location screen was wireframed or built this update — see the scope note in mbms/README.md's Sprint 5 section.</w:t>
      </w:r>
    </w:p>
    <w:p>
      <w:r>
        <w:t>See mbms/README.md, "Sprint 5 verification pass", for the full detail and verification method.</w:t>
      </w:r>
    </w:p>
    <w:p>
      <w:pPr>
        <w:pStyle w:val="Heading1"/>
      </w:pPr>
      <w:r>
        <w:t>21. Implementation Status Update 11 (18 August 2026) — Dashboard and Accounting Extended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The Subsidiary Dashboard and Accounting screens (wireframed in Section 6) are extended with a Chart of Accounts / Trial Balance summary block and a General Ledger tab respectively, following this document's existing visual language. No warehouse, purchase order or goods-received screen was wireframed or built this update.</w:t>
      </w:r>
    </w:p>
    <w:p>
      <w:r>
        <w:t>See mbms/README.md, "Sprint 6 verification pass", for the full detail and verification method.</w:t>
      </w:r>
    </w:p>
    <w:p>
      <w:pPr>
        <w:pStyle w:val="Heading1"/>
      </w:pPr>
      <w:r>
        <w:t>22. Implementation Status Update 12 (18 August 2026) — No Screen Changes</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No screen or wireframe changed this update — security testing doesn't add UI, it verifies existing UI and API behavior under attack. See mbms/README.md, "Sprint 7: security testing pass", for the full detail and verification method.</w:t>
      </w:r>
    </w:p>
    <w:p>
      <w:pPr>
        <w:pStyle w:val="Heading1"/>
      </w:pPr>
      <w:r>
        <w:t>23. Implementation Status Update 13 (18 August 2026) — No Screen Changes</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No screen or wireframe changed this update. See mbms/README.md, "Sprint 8: performance, Alpha and UAT pass", for the full detail and verification method.</w:t>
      </w:r>
    </w:p>
    <w:p>
      <w:pPr>
        <w:pStyle w:val="Heading1"/>
      </w:pPr>
      <w:r>
        <w:t>24. Implementation Status Update 14 (18 August 2026) — Expenses Screen Added</w:t>
      </w:r>
    </w:p>
    <w:p>
      <w:r>
        <w:t>Scope note: same pattern as this document's Update 13 (“No Screen Changes”) — but this sprint DID add a new screen, since Expense Management was genuinely new Phase 2 work needing no redirect.</w:t>
      </w:r>
    </w:p>
    <w:p>
      <w:r>
        <w:t>A new Expenses screen was added, following this design's existing list+modal conventions (the Suppliers/Customers/Products pattern: a table with a status badge column, a + New … button opening a modal, and per-row action buttons gated by role) rather than introducing a new UI pattern. No Administrator/Customer mockup for this screen existed to build against — unlike every earlier Phase 1 screen, which had a mockup in screenshots/ to match — so this screen's layout is this session's own design, not a match to a pre-existing mockup.</w:t>
      </w:r>
    </w:p>
    <w:p>
      <w:r>
        <w:t>See mbms/README.md, “Sprint 9”, for the full detail and verification method.</w:t>
      </w:r>
    </w:p>
    <w:p>
      <w:pPr>
        <w:pStyle w:val="Heading1"/>
      </w:pPr>
      <w:r>
        <w:t>25. Implementation Status Update 15 (18 August 2026) — Three New Accounting Tabs</w:t>
      </w:r>
    </w:p>
    <w:p>
      <w:r>
        <w:t>Scope note: same pattern as this document's Update 14 (a new screen for Expenses) — this sprint added tabs to an existing screen instead, following that screen's own established tab convention rather than introducing a new UI pattern.</w:t>
      </w:r>
    </w:p>
    <w:p>
      <w:r>
        <w:t>Income Statement, Balance Sheet and Recurring Entries were added as three more tabs on the existing Accounting screen, reusing its company selector and pill-tab navigation exactly as Trial Balance and General Ledger already do. No Administrator/Customer mockup existed for these three tabs to match — the same gap already noted for the Expenses screen in the previous update — so their layout is this session's own design, built to match the surrounding tabs' visual conventions rather than a pre-existing mockup.</w:t>
      </w:r>
    </w:p>
    <w:p>
      <w:r>
        <w:t>See mbms/README.md, “Sprint 10”, for the full detail and verification method.</w:t>
      </w:r>
    </w:p>
    <w:p>
      <w:pPr>
        <w:pStyle w:val="Heading1"/>
      </w:pPr>
      <w:r>
        <w:t>26. Implementation Status Update 16 (18 August 2026) — New Assets Screen</w:t>
      </w:r>
    </w:p>
    <w:p>
      <w:r>
        <w:t>Scope note: same pattern as Sprint 9's new Expenses screen — no existing mockup to match, so this screen's layout is this session's own design, built to match the surrounding screens' list+modal conventions.</w:t>
      </w:r>
    </w:p>
    <w:p>
      <w:r>
        <w:t>New Assets screen: a list with a status badge column and per-row action buttons gated by role/status, following the same pattern Expenses and Suppliers already use. The Dispose modal adds a live-computed gain/loss preview not present in any other modal in this system, added specifically to prevent a real usability issue found during Sprint 11's own verification.</w:t>
      </w:r>
    </w:p>
    <w:p>
      <w:r>
        <w:t>See mbms/README.md, “Sprint 11”, for the full detail and verification method.</w:t>
      </w:r>
    </w:p>
    <w:p>
      <w:pPr>
        <w:pStyle w:val="Heading1"/>
      </w:pPr>
      <w:r>
        <w:t>27. Implementation Status Update 17 (18 August 2026) — New Projects Screen</w:t>
      </w:r>
    </w:p>
    <w:p>
      <w:r>
        <w:t>Scope note: same pattern as Sprints 9 and 11's new screens — no existing mockup to match, so this screen's layout is this session's own design.</w:t>
      </w:r>
    </w:p>
    <w:p>
      <w:r>
        <w:t>New Projects screen: a list with a status badge column and a Details button opening a large modal — team/tasks/milestones/profitability/status-transitions all in one place, a denser single-modal pattern than any earlier screen in this system, chosen because a project genuinely has more interrelated sub-resources than Expenses or Assets did.</w:t>
      </w:r>
    </w:p>
    <w:p>
      <w:r>
        <w:t>See mbms/README.md, “Sprint 12”, for the full detail and verification method.</w:t>
      </w:r>
    </w:p>
    <w:p>
      <w:pPr>
        <w:pStyle w:val="Heading1"/>
      </w:pPr>
      <w:r>
        <w:t>28. Implementation Status Update 18 (18 August 2026) — New Reports Screen</w:t>
      </w:r>
    </w:p>
    <w:p>
      <w:r>
        <w:t>Scope note: same pattern as Sprints 9, 11 and 12's new screens — no existing mockup to match.</w:t>
      </w:r>
    </w:p>
    <w:p>
      <w:r>
        <w:t>New Reports screen: a report-type selector, contextual filter fields, an on-screen preview table, and CSV/PDF export buttons — the first screen in this system whose primary output is a downloaded file rather than an on-screen record.</w:t>
      </w:r>
    </w:p>
    <w:p>
      <w:r>
        <w:t>See mbms/README.md, “Sprint 13”, for the full detail and verification method.</w:t>
      </w:r>
    </w:p>
    <w:p>
      <w:pPr>
        <w:pStyle w:val="Heading1"/>
      </w:pPr>
      <w:r>
        <w:t>29. Implementation Status Update 19 (18 August 2026) — Notification Bell Added, Dashboard Deepened</w:t>
      </w:r>
    </w:p>
    <w:p>
      <w:r>
        <w:t>Scope note: same pattern as Sprints 9/11/12/13's new UI elements — no existing mockup to match for the notification bell specifically.</w:t>
      </w:r>
    </w:p>
    <w:p>
      <w:r>
        <w:t>A notification bell was added to the top bar, present on every screen — the first persistent, cross-screen UI element added since this system's original Phase 1 mockups, everything else added since has been screen- or tab-scoped. Dashboard's subsidiary card gained three new conditional sections following its own existing card-section pattern, not a new layout.</w:t>
      </w:r>
    </w:p>
    <w:p>
      <w:r>
        <w:t>See mbms/README.md, “Sprint 14”, for the full detail and verification method.</w:t>
      </w:r>
    </w:p>
    <w:p>
      <w:pPr>
        <w:pStyle w:val="Heading1"/>
      </w:pPr>
      <w:r>
        <w:t>30. Implementation Status Update 20 (19 August 2026) — Inter-Company Screen Added, Company Detail and Reports Deepened</w:t>
      </w:r>
    </w:p>
    <w:p>
      <w:r>
        <w:t>Scope note: same pattern as every earlier sprint's new UI elements — no existing mockup to match for the Inter-Company screen specifically.</w:t>
      </w:r>
    </w:p>
    <w:p>
      <w:r>
        <w:t>A new Inter-Company page was added to the sidebar (list, create, two-sided post form). Company Detail's existing Branches/Departments card layout was extended with a third, identical Policies section rather than a new layout. The Transfer Asset modal and Reports screen were extended in place, following each screen's own existing field-conditional pattern (the same approach Sprint 13 used for report-type-conditional filters).</w:t>
      </w:r>
    </w:p>
    <w:p>
      <w:r>
        <w:t>See mbms/README.md, “Company and Holdings Management,” for the full detail and verification method.</w:t>
      </w:r>
    </w:p>
    <w:p>
      <w:pPr>
        <w:pStyle w:val="Heading1"/>
      </w:pPr>
      <w:r>
        <w:t>31. Implementation Status Update 21 (19 August 2026) — Dashboard KPI Tiles, Alert Banners and Charts Added</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The Holding Company Dashboard gained new KPI tile rows (total assets/revenue/expenses/net profit, cash position, bank balances, outstanding receivables/payables/loans, employee statistics, a company performance comparison table), alert banners (reusing the existing .banner.error/.banner.info CSS classes, no new component), and four monthly trend charts. The Subsidiary Dashboard's per-company cards gained the same financials/charts/outstanding-loans blocks, each shown only when the viewing user is authorized for that company (same pattern as the existing Accounting/Assets/Projects blocks), plus a labeled "Not Available for This Company" row for Inventory/Sales/Procurement. Charts are drawn as plain inline SVG bar charts, not a new charting library — this frontend has deliberately kept dependencies minimal (react/react-dom/react-router-dom only) throughout every earlier sprint.</w:t>
      </w:r>
    </w:p>
    <w:p>
      <w:r>
        <w:t>No new mockup existed to match for the chart/alert layout, the same "this sprint's own design" note every earlier UI addition without a matching Administrator/Customer mockup has already carried.</w:t>
      </w:r>
    </w:p>
    <w:p>
      <w:r>
        <w:t>Verified end-to-end with a curl matrix: permission gating on all three new endpoints (a subsidiary-scoped Finance Manager correctly receives FORBIDDEN calling the group-wide /dashboard/financials), BR-01 scope isolation on the deepened company dashboard (a Finance Manager scoped to Morise Agro Ltd correctly receives NOT_FOUND requesting Morise Logistics Ltd's dashboard), and that a role with no accounting permission for a company (an HR Manager) correctly sees financials/outstandingLoans as null on that company's own dashboard, not an error. A live browser/Playwright pass was not available this session (no browser tool was available to the agent that built this) — this is API-level verification only via curl, plus a clean `vite build` confirming the new frontend code compiles, the same honest gap Sprint 9's update recorded for its own browser-pass-unavailable session.</w:t>
      </w:r>
    </w:p>
    <w:p>
      <w:pPr>
        <w:pStyle w:val="Heading1"/>
      </w:pPr>
      <w:r>
        <w:t>32. Implementation Status Update 22 (19 August 2026) — Change Password Card Added to My Profile</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The My Profile screen's "To change your password, sign out and use Forgot Password?" hint text — which pointed users at the reset flow, not a change flow, because no change flow existed — was replaced with a real Change Password card (current password + new password fields, reusing the existing .card/.formgrid/.banner CSS classes, no new component). The Role &amp; Access card is unchanged, now the third card in what was previously a two-card grid.</w:t>
      </w:r>
    </w:p>
    <w:p>
      <w:r>
        <w:t>Verified end-to-end with a curl matrix: GET /identity/roles confirms all 23 roles now carry their expected permission count; a live test user assigned only the new Accountant role correctly receives FORBIDDEN calling both an identity.user.manage-gated and an organization.company.viewAll-gated endpoint; self-service change-password correctly rejects a wrong current password, succeeds with the right one, revokes the old password and produces a matching audit entry; the admin reset-password audit fix was verified the same way. A live browser/Playwright pass was not available this session — API-level verification only via curl, plus a clean vite build confirming the new Change Password UI compiles.</w:t>
      </w:r>
    </w:p>
    <w:p>
      <w:pPr>
        <w:pStyle w:val="Heading1"/>
      </w:pPr>
      <w:r>
        <w:t>32. Implementation Status Update 23 (19 August 2026) — Four New Screens: Recruitment, Attendance, Leave, Performance</w:t>
      </w:r>
    </w:p>
    <w:p>
      <w:r>
        <w:t>Scope note: requested directly against a full HR feature list, not a numbered sprint or either pass earlier the same day.</w:t>
      </w:r>
    </w:p>
    <w:p>
      <w:r>
        <w:t>Four new sidebar screens, each following the same list + modal pattern every earlier module screen already uses (no Administrator/Customer mockup existed to match for any of them, the same "this pass's own design" note every earlier UI addition without a matching mockup already carries): Recruitment (a two-panel vacancy list plus a selected-vacancy detail panel with inline application/interview/offer/onboarding actions), Attendance (clock-in/out buttons, a records table, a shifts table), Leave (leave balances, an application list with approve/reject/cancel, a submit form), and Performance (review cycles, a reviews list with self-assessment and manager-assessment forms). The existing Employees create form gained a Document Reference field.</w:t>
      </w:r>
    </w:p>
    <w:p>
      <w:r>
        <w:t>See mbms/README.md, "HR Module Deepening", for the full detail and verification method.</w:t>
      </w:r>
    </w:p>
    <w:p>
      <w:pPr>
        <w:pStyle w:val="Heading1"/>
      </w:pPr>
      <w:r>
        <w:t>33. Implementation Status Update 24 (19 August 2026) — Customer Storefront Screens, Made Responsive, Landing Page Added</w:t>
      </w:r>
    </w:p>
    <w:p>
      <w:r>
        <w:t>Scope note: requested directly against three related asks handled in one session — build the customer storefront, make it responsive, and add a public landing page with a disclaimer — not a numbered sprint.</w:t>
      </w:r>
    </w:p>
    <w:p>
      <w:r>
        <w:t>All ten Customer mockup screens (screenshots/Customer/01-login.png through 10-my-account.png) were built as real, working pages in a new application, mbms/storefront/, with its own visual design distinct from the Admin app's plainer theme — navy header, orange call-to-action accent, card-based catalog grid — while reusing the Admin app's class-pattern conventions (.btn/.card/.field/.badge) for consistency of approach. Two more screens, a Landing page and a first-visit disclaimer modal, were added with no source mockup to match — this pass's own design, the same "no Administrator/Customer mockup existed to match" note every earlier UI addition without a matching mockup has already carried — and are the only screens in this set numbered 00 rather than continuing the existing sequence, since the landing page is the one screen that precedes login. Real screenshots of both were captured against the running app and saved to screenshots/Customer/00-landing.png and 00-landing-disclaimer.png.</w:t>
      </w:r>
    </w:p>
    <w:p>
      <w:r>
        <w:t>The storefront was then made responsive across every screen: a fluid header (flex-wrap plus explicit order, not a fixed breakpoint) so the search bar never gets squeezed unreadably thin at any width, a wrapping (not hidden-scroll) navigation bar, and tables that scroll inside their own card rather than breaking page width. A real visual bug — a CSS rule leaking between the app shell's header and the new Landing page's separate header, silently swapping the logo and Sign In button — was found by inspecting a screenshot and fixed by scoping the rule correctly.</w:t>
      </w:r>
    </w:p>
    <w:p>
      <w:r>
        <w:t>See mbms/README.md, "Sprint 16: Customer Storefront", "Storefront responsiveness pass" and "Landing page and disclaimer added", for the full detail and verification method.</w:t>
      </w:r>
    </w:p>
    <w:p>
      <w:pPr>
        <w:pStyle w:val="Heading1"/>
      </w:pPr>
      <w:r>
        <w:t>34. Implementation Status Update 25 (19 August 2026) — Accounts Payable Screen Added</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One new screen: Accounts Payable (aging KPI row, supplier invoice list/create, approve, record payment), following the same list + modal pattern every earlier module screen already uses. Accounts Receivable's new staff-facing views and the five new Financial Statement reports are verified and working at the API level but have no screen yet — deliberately deferred to keep this already-large pass bounded (see mbms/README.md).</w:t>
      </w:r>
    </w:p>
    <w:p>
      <w:r>
        <w:t>See mbms/README.md, "Financial Module Deepening", for the full detail and verification method.</w:t>
      </w:r>
    </w:p>
    <w:p>
      <w:pPr>
        <w:pStyle w:val="Heading1"/>
      </w:pPr>
      <w:r>
        <w:t>35.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Section 5 (Navigation Structure) is replaced by the four-category model: a collapsible left sidebar with categories Admin / Backend, Human Resources, My HR, and Financial &amp; Accounting. Category headers toggle on click with a caret indicator; the active category is always open; state persists per client (localStorage mbms.nav.open). Planned items carry a pill tag and lead to a standard placeholder screen (breadcrumb = category, title, summary, planned-capability list, “Planned” badge). The Screen Inventory gains the placeholder screens marked as planned. Colour, typography, spacing and the list/detail patterns are unchanged.</w:t>
      </w:r>
    </w:p>
    <w:p>
      <w:pPr>
        <w:pStyle w:val="Heading1"/>
      </w:pPr>
      <w:r>
        <w:t>36.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UI-UX: the Users &amp; Settings screen (formerly “Users &amp; Roles”) is updated — an explanatory line about the delegation model; the Assign Role and Direct Permissions pickers show only what the signed-in admin may delegate to the selected user; a notice replaces the controls when the user is outside the admin's scope; and account-status and scope controls are shown only to platform administrators. No change to colour, typography or the list/detail pattern.</w:t>
      </w:r>
    </w:p>
    <w:p>
      <w:pPr>
        <w:pStyle w:val="Heading1"/>
      </w:pPr>
      <w:r>
        <w:t>37.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UI-UX: the left sidebar is now rendered per user — items without a held permission are omitted entirely (not shown disabled), and an empty category is not drawn. The Screen Inventory notes that the Dashboard and the My HR self-service screens are always present. No change to colour, type, spacing or the list/detail pattern. A worked example (Sales Manager) is included in the status text.</w:t>
      </w:r>
    </w:p>
    <w:p>
      <w:pPr>
        <w:pStyle w:val="Heading1"/>
      </w:pPr>
      <w:r>
        <w:t>38.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UI-UX: a language picker (globe icon + selector, options grouped by language family) is added to the storefront header and to the Landing and Login screens. Selected navigation, headings and buttons render in the chosen language; untranslated items stay in English. Layout is unchanged; the picker styling matches the dark header and the light Landing/Login surfaces. Screen Inventory notes the picker as a persistent header element.</w:t>
      </w:r>
    </w:p>
    <w:p>
      <w:pPr>
        <w:pStyle w:val="Heading1"/>
      </w:pPr>
      <w:r>
        <w:t>39.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UI-UX: the language picker now lists 43 languages grouped by Uganda language family and then by continent (Africa, Asia, Europe, the Americas, Oceania). Selecting a right-to-left language (Arabic) mirrors the entire layout — header, navigation, cards, forms — via the document dir attribute, with a small dir='rtl' stylesheet block fixing the few physically-positioned elements (cart badge, top-bar action cluster). No change to colour, type or spacing tokens.</w:t>
      </w:r>
    </w:p>
    <w:p>
      <w:pPr>
        <w:pStyle w:val="Heading1"/>
      </w:pPr>
      <w:r>
        <w:t>40.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UI-UX: the Screen Inventory is annotated to note that every screen's text is fully driven by the locale catalogue. No visual change — layout, colour, type and spacing tokens are untouched — but each screen now has a verified full translation in nine languages, one of them right-to-left. Status and priority badges display translated labels.</w:t>
      </w:r>
    </w:p>
    <w:p>
      <w:pPr>
        <w:pStyle w:val="Heading1"/>
      </w:pPr>
      <w:r>
        <w:t>41.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UI-UX: no new storefront screen. The catalogue and support screens now display server-provided text in the chosen language; a customer's own submitted text is shown back to them verbatim. The admin Support Tickets screen gains a small “Submitted in: &lt;lang&gt;” badge and a “show customer's original” toggle on the ticket detail. Colour, type and layout tokens are unchanged.</w:t>
      </w:r>
    </w:p>
    <w:p>
      <w:pPr>
        <w:pStyle w:val="Heading1"/>
      </w:pPr>
      <w:r>
        <w:t>42.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UI-UX: no new screen. Every amount on the storefront now renders through a locale-aware formatter — converted currency, localised grouping/decimal marks, currency name, and digit script — and standalone figures follow the language's digits. The admin views are unchanged (UGX, Western digits). No colour, type or layout token change.</w:t>
      </w:r>
    </w:p>
    <w:p>
      <w:pPr>
        <w:pStyle w:val="Heading1"/>
      </w:pPr>
      <w:r>
        <w:t>43.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UI-UX: the Companies list gains a per-row actions column (Activate/Deactivate, Delete) for subsidiaries; the Company detail screen gains Delete on each branch / department / policy row and an Activate/Deactivate/Delete control for the subsidiary itself, all shown only to Managing Director / Super Administrator / IT Administrator. No new screen; the Clearing &amp; Forwarding system's screens are specified in doc 19.</w:t>
      </w:r>
    </w:p>
    <w:p>
      <w:pPr>
        <w:pStyle w:val="Heading1"/>
      </w:pPr>
      <w:r>
        <w:t>44.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UI-UX: no new screen. Morise Warehouse Management Ltd appears in the existing Companies list and Company detail screens, with the same Activate/Deactivate/Delete controls for the Managing Director. The WMS's own screens are specified in doc 20.</w:t>
      </w:r>
    </w:p>
    <w:p>
      <w:pPr>
        <w:pStyle w:val="Heading1"/>
      </w:pPr>
      <w:r>
        <w:t>45.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UI-UX: the Inventory screen follows the existing admin patterns — KPI tiles, a filterable table with status badges (In stock / Low / Out of stock), and modal dialogs for Adjust and Re-order point. The sidebar entry drops its “Soon” badge. The Movements tab is a plain reverse-chronological ledger.</w:t>
      </w:r>
    </w:p>
    <w:p>
      <w:pPr>
        <w:pStyle w:val="Heading1"/>
      </w:pPr>
      <w:r>
        <w:t>46.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UI-UX: both screens follow existing admin patterns — a tabbed table with CRUD modals for Marketing &amp; Promos, a list + editor with a draft / published badge for CMS. On the storefront: a discount-code field and discount line in the cart summary, an accent banner strip on the home page, and a plain readable /page/{slug} content page reachable from the Landing footer.</w:t>
      </w:r>
    </w:p>
    <w:p>
      <w:pPr>
        <w:pStyle w:val="Heading1"/>
      </w:pPr>
      <w:r>
        <w:t>47.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UI-UX: the Marketing &amp; Promos and CMS screens are unchanged for the Managing Director — the controls were already visible to this role; they now succeed instead of returning an error. A Delete action is added to each discount-code row.</w:t>
      </w:r>
    </w:p>
    <w:p>
      <w:pPr>
        <w:pStyle w:val="Heading1"/>
      </w:pPr>
      <w:r>
        <w:t>48.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UI-UX: no layout change. The home-page banner strip and the /page/{slug} content page now display in the selected language (right-to-left for Arabic, digits in the local script); the cart's discount-code messages are localised.</w:t>
      </w:r>
    </w:p>
    <w:p>
      <w:pPr>
        <w:pStyle w:val="Heading1"/>
      </w:pPr>
      <w:r>
        <w:t>49.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UI-UX: the HR Dashboard follows the existing dashboard pattern (KPI tiles then breakdown cards); Departments is a filterable table with New / Rename / Delete, matching the other admin management screens. Both sidebar entries drop their “Soon” badge.</w:t>
      </w:r>
    </w:p>
    <w:p>
      <w:pPr>
        <w:pStyle w:val="Heading1"/>
      </w:pPr>
      <w:r>
        <w:t>50.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UI-UX: Shift Scheduling is a scrollable employee x day grid with shift badges (amber = planned, green = published), a + cell to assign, a coverage row and a Publish action. Payroll is a runs table with a payslip-breakdown dialog and approve / pay / cancel, plus a salary-advances tab. Both sidebar entries drop their “Soon” badge.</w:t>
      </w:r>
    </w:p>
    <w:p>
      <w:pPr>
        <w:pStyle w:val="Heading1"/>
      </w:pPr>
      <w:r>
        <w:t>51.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UI-UX: the six My HR screens follow the established patterns — a status card with action buttons (Clock In / Out), balance KPI cards plus a requests table (My Leave), a roster table with today highlighted (My Shifts), review cards with a self-assessment dialog (My Performance), a payslip table with a breakdown dialog (My Payslips), and an advances table with a Request dialog (My Salary Advances). No “Coming Soon” placeholder remains in the sidebar's HR areas.</w:t>
      </w:r>
    </w:p>
    <w:p>
      <w:pPr>
        <w:pStyle w:val="Heading1"/>
      </w:pPr>
      <w:r>
        <w:t>52.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UI-UX: no screen change. The “not linked” empty state is now only seen by an account that genuinely has no employee record.</w:t>
      </w:r>
    </w:p>
    <w:p>
      <w:pPr>
        <w:pStyle w:val="Heading1"/>
      </w:pPr>
      <w:r>
        <w:t>53.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UI-UX: the overview follows the dashboard pattern — KPI tiles for the group position, a by-company table, a “Needs attention” tile row, a period-close table, and a card grid of shortcuts into the finance sub-screens. The sidebar entry drops its “Soon” badge; no placeholder screen remains anywhere in the navigation.</w:t>
      </w:r>
    </w:p>
    <w:p>
      <w:pPr>
        <w:pStyle w:val="Heading1"/>
      </w:pPr>
      <w:r>
        <w:t>54.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UI-UX: the login screen gains a combined “email, phone or account number” field, a “Forgot your password?” link, an “or / Continue with Google” block and a “Create an account” link. New screens: a sign-up form (with the seller-company picker and a starter-terms note), a forgot-password screen (which, in this build, shows the reset link directly), and a set-new-password screen. All follow the existing storefront login styling and are fully localised.</w:t>
      </w:r>
    </w:p>
    <w:p>
      <w:pPr>
        <w:pStyle w:val="Heading1"/>
      </w:pPr>
      <w:r>
        <w:t>55.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UI/UX — Shop gains a company / branch filter bar and a “company · branch” tag on every card; a new Subsidiaries directory screen; the cart is sectioned by fulfilling company with per-company subtotals; the header and My Account show the customer's subsidiary and branch.</w:t>
      </w:r>
    </w:p>
    <w:p>
      <w:pPr>
        <w:pStyle w:val="Heading1"/>
      </w:pPr>
      <w:r>
        <w:t>56.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UI/UX — the shop's company filter and the Subsidiaries directory now show four sellers; product cards for the two new companies carry border-office and warehouse branch tags.</w:t>
      </w:r>
    </w:p>
    <w:p>
      <w:pPr>
        <w:pStyle w:val="Heading1"/>
      </w:pPr>
      <w:r>
        <w:t>57.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UI/UX — no layout change; the company / branch tags on product cards, the Subsidiaries directory and the My Account panel now display in the chosen language, right-to-left for Arabic.</w:t>
      </w:r>
    </w:p>
    <w:p>
      <w:pPr>
        <w:pStyle w:val="Heading1"/>
      </w:pPr>
      <w:r>
        <w:t>58.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UI/UX — no product UI change. The Swagger UI at /api/v1/docs is a developer surface only and uses its own default styling.</w:t>
      </w:r>
    </w:p>
    <w:p>
      <w:pPr>
        <w:pStyle w:val="Heading1"/>
      </w:pPr>
      <w:r>
        <w:t>59.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UI/UX — the pre-login experience is rebuilt to the screenshots/files(13) reference: paper (#F2F0EA) / bronze (#8A6A34) / ink palette, Fraunces + Inter + IBM Plex Mono, a utility bar + main nav + footer, hero, four-cell figure strip, Companies grid, letter-to-shareholders band, per-company and Group Overview layouts, News list and Contacts form. The authenticated storefront’s look is unchanged.</w:t>
      </w:r>
    </w:p>
    <w:p>
      <w:pPr>
        <w:pStyle w:val="Heading1"/>
      </w:pPr>
      <w:r>
        <w:t>60.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UI/UX — the pre-login corporate site is re-skinned from the paper/bronze reference (Fraunces + IBM Plex Mono, cream #F2F0EA, serif headings) to the storefront design system: system fonts, navy #1E3A5F / blue #2E5395 / amber #D97706, #F2F5FA background, white 10px cards, 24px page-head H1. The storefront and admin looks are unchanged. The screenshots/files(13)/ layouts are retained; only their colours, fonts and radii changed.</w:t>
      </w:r>
    </w:p>
    <w:p>
      <w:pPr>
        <w:pStyle w:val="Heading1"/>
      </w:pPr>
      <w:r>
        <w:t>61.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UI/UX — the /page/:slug content pages (About, Terms, Delivery) are brought under the corporate site’s shared shell: the utility bar, main navigation, footer and demonstration disclaimer from CorporateLayout, and the storefront’s system fonts and navy / white / amber palette, with the article body in a white 10px card (.mc-article). The earlier bespoke header and landing styling on these pages are removed.</w:t>
      </w:r>
    </w:p>
    <w:p>
      <w:pPr>
        <w:pStyle w:val="Heading1"/>
      </w:pPr>
      <w:r>
        <w:t>62.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UI/UX — the storefront footer (corporate pages via CorporateLayout and signed-in pages via Layout) gains a “Follow us” row: small round navy platform badges linking out to each visible channel, in the admin-set order; the row is omitted entirely when there are no visible channels. Admin: a table-plus-add-row panel on the CMS / Site Builder screen, consistent with the content-blocks list.</w:t>
      </w:r>
    </w:p>
    <w:p>
      <w:pPr>
        <w:pStyle w:val="Heading1"/>
      </w:pPr>
      <w:r>
        <w:t>63.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UI/UX — the landing page gains, after the “Related” row: a full-width navy Newsletter band (heading + copy + email field + Subscribe, inline success / error), and an FAQ section — a bordered expand/collapse list of Q&amp;A, omitted entirely when there are no visible items, with an “Ask us something else” link to Contacts. Admin: a table-plus-add-row FAQ panel and a read-only subscribers table on the CMS / Site Builder screen, consistent with the existing content and social-channel panels.</w:t>
      </w:r>
    </w:p>
    <w:p>
      <w:pPr>
        <w:pStyle w:val="Heading1"/>
      </w:pPr>
      <w:r>
        <w:t>64.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UI/UX — no layout change. The storefront already sends Accept-Language on every request, so Orders and the order-placed confirmation now render item and subsidiary names, cancellation notes and figures in the chosen language automatically; the admin Orders screen can show a customer’s original cancellation wording alongside the English.</w:t>
      </w:r>
    </w:p>
    <w:p>
      <w:pPr>
        <w:pStyle w:val="Heading1"/>
      </w:pPr>
      <w:r>
        <w:t>65.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UI/UX — no layout change. The storefront already sends Accept-Language on data requests and now on file downloads too, so the Home dashboard’s recent orders, the account statement and the downloaded PDFs render in the chosen language automatically; the PDF’s non-data footer stays English.</w:t>
      </w:r>
    </w:p>
    <w:p>
      <w:pPr>
        <w:pStyle w:val="Heading1"/>
      </w:pPr>
      <w:r>
        <w:t>66.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UI/UX — no product UI change. The public Companies directory and Group Overview now list a fifth subsidiary card (sector “Collateral management”, with a short blurb) fed live from the group-overview endpoint; it has no catalogue.</w:t>
      </w:r>
    </w:p>
    <w:p>
      <w:pPr>
        <w:pStyle w:val="Heading1"/>
      </w:pPr>
      <w:r>
        <w:t>67.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UI/UX — the demonstration disclaimer becomes a full-page gate shown before the landing page: a centred card on the navy gradient with the Morise wordmark and language switcher, a warning icon, the “Before you continue” heading, the admin-managed statements as a list, and a full-width primary button that reads “Please read — continue in Ns” while disabled and “I Understand, Continue” once the hold elapses, with a short hint line beneath. The old dismissible modal is kept only as a “Read disclaimer” re-opener from the demo strip and footer.</w:t>
      </w:r>
    </w:p>
    <w:p>
      <w:pPr>
        <w:pStyle w:val="Heading1"/>
      </w:pPr>
      <w:r>
        <w:t>68.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UI/UX — the pre-login corporate surface (disclaimer gate, landing page, Companies, Profile, Governance, Group Overview, News, Contacts, footer) now renders in the chosen language: all headings, labels, buttons, the demo strip and the disclaimer-gate countdown. Arabic flips right-to-left, with a small CSS block correcting the physically-placed elements. The language picker sits on the gate itself.</w:t>
      </w:r>
    </w:p>
    <w:p>
      <w:pPr>
        <w:pStyle w:val="Heading1"/>
      </w:pPr>
      <w:r>
        <w:t>69.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UI/UX — no layout change. The public Companies directory / Group Overview and the signed-in storefront now show Morise Collateral Management Ltd with a catalogue (10 items) rather than “no catalogue”; its five service categories appear in the shop’s category filter when that subsidiary is selected.</w:t>
      </w:r>
    </w:p>
    <w:p>
      <w:pPr>
        <w:pStyle w:val="Heading1"/>
      </w:pPr>
      <w:r>
        <w:t>70.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UI/UX — no layout change. For the Managing Director every screen in the four admin categories now renders its full set of action controls (New / Edit / Approve / Post / Pay / Execute) rather than a read-only view on the screens that previously hid them.</w:t>
      </w:r>
    </w:p>
    <w:p>
      <w:pPr>
        <w:pStyle w:val="Heading1"/>
      </w:pPr>
      <w:r>
        <w:t>71.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UI/UX — the placeholder ‘M’ is replaced by the Morise mark (monoline “M” + amber apex diamond) in the Admin top bar and login and across the Storefront header, disclaimer gate and auth screens; favicons updated. Existing badge shapes, sizes and colours are unchanged — only the glyph inside them.</w:t>
      </w:r>
    </w:p>
    <w:p>
      <w:pPr>
        <w:pStyle w:val="Heading1"/>
      </w:pPr>
      <w:r>
        <w:t>72.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UI/UX — the storefront hero and the corporate mini-site hero now carry the Morise banner motif (gradient + logomark watermark + amber diamond + route line) instead of a flat gradient; existing layout, spacing and copy are unchanged. Social/link previews use the brand social card.</w:t>
      </w:r>
    </w:p>
    <w:p>
      <w:pPr>
        <w:pStyle w:val="Heading1"/>
      </w:pPr>
      <w:r>
        <w:t>73.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UI/UX — the landing Companies grid, the Companies directory, the portfolio-company page, the subsidiary directory and the shop now show brand banners where they previously had an empty placeholder or nothing; card layouts, spacing and copy are otherwise unchanged.</w:t>
      </w:r>
    </w:p>
    <w:p>
      <w:pPr>
        <w:pStyle w:val="Heading1"/>
      </w:pPr>
      <w:r>
        <w:t>74.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UI/UX — no delivery screens exist yet. Planned: an Admin dispatch console (delivery queue, driver board, status timeline, proof capture, metrics tiles) and a storefront order-tracking view over the existing customer endpoint, both following the current design system and localisation.</w:t>
      </w:r>
    </w:p>
    <w:p>
      <w:pPr>
        <w:pStyle w:val="Heading1"/>
      </w:pPr>
      <w:r>
        <w:t>75.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UI/UX — new storefront surfaces: a “Confirm delivery” prompt on a delivered order (condition choice + optional note), a “Delivered — acknowledged” state with a “Download stamped invoice” action, and a stamped-invoice layout (Morise seal, acknowledgement block). Follows the current design system and localisation. Not built.</w:t>
      </w:r>
    </w:p>
    <w:p>
      <w:pPr>
        <w:pStyle w:val="Heading1"/>
      </w:pPr>
      <w:r>
        <w:t>76.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UI/UX — new Admin screens: an eligible-orders list with an “Assign persona” action, a persona board (name, vehicle, active, open deliveries) with assign / reassign, and a delivery detail with its status timeline. Follows the current design system. Not built.</w:t>
      </w:r>
    </w:p>
    <w:p>
      <w:pPr>
        <w:pStyle w:val="Heading1"/>
      </w:pPr>
      <w:r>
        <w:t>77.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UI/UX — unchanged: still no delivery screens. The planned Admin dispatch console (eligible-orders list, persona board, delivery detail with status timeline) is now the next UI piece, and it can be built directly against the live API.</w:t>
      </w:r>
    </w:p>
    <w:p>
      <w:pPr>
        <w:pStyle w:val="Heading1"/>
      </w:pPr>
      <w:r>
        <w:t>78.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UI/UX — the storefront catalogue is now “Services Catalog”, the primary product action is “Add to Invoice” (confirmation “Added to Invoice”), and the basket surface (header link, breadcrumb, page heading, empty state) is “Invoice”; the header icon is a receipt (🧾). Layout, flow and styling are unchanged.</w:t>
      </w:r>
    </w:p>
    <w:p>
      <w:pPr>
        <w:pStyle w:val="Heading1"/>
      </w:pPr>
      <w:r>
        <w:t>79.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UI/UX — built screens: Payroll (runs + salary advances tabs, payslips view) and My Payslips. The spec adds: a salary-structure editor per employee, a loans tab, a payslip-PDF download, a bank-payment-schedule view, and department / company / consolidated report screens; all would follow the existing admin design system.</w:t>
      </w:r>
    </w:p>
    <w:p>
      <w:pPr>
        <w:pStyle w:val="Heading1"/>
      </w:pPr>
      <w:r>
        <w:t>80.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UI/UX — new: the Salary structures tab (employee picker, component table with type badges, recurring / one-off marker, gross + statutory preview footer, add-component modal) and an expandable earnings breakdown under each payslip row. Follows the existing admin design system.</w:t>
      </w:r>
    </w:p>
    <w:p>
      <w:pPr>
        <w:pStyle w:val="Heading1"/>
      </w:pPr>
      <w:r>
        <w:t>81.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UI/UX — screens exist: General Ledger &amp; Journals, Accounts Payable, Reports and the Financial &amp; Accounting overview, plus the customer-storefront Invoices and Payments. An AR reconciliation view would follow the existing report-screen pattern.</w:t>
      </w:r>
    </w:p>
    <w:p>
      <w:pPr>
        <w:pStyle w:val="Heading1"/>
      </w:pPr>
      <w:r>
        <w:t>82.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UI/UX — new screens: a Cash &amp; Bank list (accounts with live balances), a petty-cash register, a deposit / withdraw / transfer dialog, a voucher print layout, and a cash-flow forecast chart; all would follow the existing report-screen and dialog patterns. Bank / cash reconciliation reuses the existing reconciliation screen.</w:t>
      </w:r>
    </w:p>
    <w:p>
      <w:pPr>
        <w:pStyle w:val="Heading1"/>
      </w:pPr>
      <w:r>
        <w:t>83.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UI/UX — new screens: a Budgets workspace (by company / department / project / group, with draft / approved status and a revisions panel), a utilization dashboard, and budget-alert banners; budget-vs-actual keeps its report layout. Would follow the existing report-screen and workflow patterns.</w:t>
      </w:r>
    </w:p>
    <w:p>
      <w:pPr>
        <w:pStyle w:val="Heading1"/>
      </w:pPr>
      <w:r>
        <w:t>84.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UI/UX — built screens: Customers, Order Management, Marketing &amp; Promos, Support Tickets. New: a Quotations builder, a returns dialog, delivery-note / receipt print layouts, a Sales commissions / targets dashboard, and a CRM workspace (a Kanban pipeline, a lead / opportunity form, an activity timeline). Would follow the existing list-screen and workflow patterns.</w:t>
      </w:r>
    </w:p>
    <w:p>
      <w:pPr>
        <w:pStyle w:val="Heading1"/>
      </w:pPr>
      <w:r>
        <w:t>85.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UI/UX — built screens: Suppliers, Accounts Payable. New: a Requisitions list with an approval action, an RFQ builder and a quotation-comparison grid, a Purchase Orders workspace with an approval chain, a Goods Received Note + inspection form, and procurement report screens. Would follow the existing list-screen and approval-workflow patterns.</w:t>
      </w:r>
    </w:p>
    <w:p>
      <w:pPr>
        <w:pStyle w:val="Heading1"/>
      </w:pPr>
      <w:r>
        <w:t>86.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UI/UX — built screen: Suppliers (list with category / status filter, create / edit, masked bank field, blacklist). New: a contacts sub-list, a documents / contract panel, a suspend dialog with reason and end date, and an evaluation form + a performance scorecard. Would follow the existing detail-panel patterns.</w:t>
      </w:r>
    </w:p>
    <w:p>
      <w:pPr>
        <w:pStyle w:val="Heading1"/>
      </w:pPr>
      <w:r>
        <w:t>87.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UI/UX — new: a supplier detail dialog opened from the supplier name, with Contacts, Evaluations and Performance tabs following the existing detail-panel pattern; a suspend dialog (reason + optional auto-lift date); an evaluation form with 1-5 sliders and a live overall; a suspended badge with the lift date in the list.</w:t>
      </w:r>
    </w:p>
    <w:p>
      <w:pPr>
        <w:pStyle w:val="Heading1"/>
      </w:pPr>
      <w:r>
        <w:t>88.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UI/UX — new: a Warehouses tab (list, create, inline locations panel), a Reports tab with a report picker and per-report tables, a warehouse filter and min / max columns on the stock list, Transfer / Return / Levels row actions, and a warehouse selector plus batch / serial inputs on the adjust dialog — all following the existing table + modal patterns.</w:t>
      </w:r>
    </w:p>
    <w:p>
      <w:pPr>
        <w:pStyle w:val="Heading1"/>
      </w:pPr>
      <w:r>
        <w:t>89.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UI/UX — new: a Warehouse ops tab with Staff / Goods receipts / Pick lists / Stock counts sub-views (list + create modal + row actions each), a status filter per view, expandable line detail, an inline counted-quantity input on a stock count, and a bin-kind selector on the Warehouses tab — all following the existing table + modal patterns.</w:t>
      </w:r>
    </w:p>
    <w:p>
      <w:pPr>
        <w:pStyle w:val="Heading1"/>
      </w:pPr>
      <w:r>
        <w:t>90.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UI/UX — new: a Categories management modal (list + add + activate / deactivate), a per-asset detail dialog with Overview / Inspections / Insurance / History tabs, and a category picker plus supplier / PO / warranty inputs and an optional asset number on the registration form — all following the existing table + modal patterns.</w:t>
      </w:r>
    </w:p>
    <w:p>
      <w:pPr>
        <w:pStyle w:val="Heading1"/>
      </w:pPr>
      <w:r>
        <w:t>91.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UI/UX — new: a Fleet screen with a vehicle table, a Register-vehicle modal, a per-vehicle detail dialog with Summary / Drivers / Fuel / Odometer / Service / Renewals / Accidents / Expenses tabs (list + add-action modal each), and a Reports tab with a report picker and per-report tables — following the existing table + modal patterns.</w:t>
      </w:r>
    </w:p>
    <w:p>
      <w:pPr>
        <w:pStyle w:val="Heading1"/>
      </w:pPr>
      <w:r>
        <w:t>92.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UI/UX — the Alerts screen follows the existing dashboard patterns — a severity KPI row, a filter card with clickable category chips carrying counts, and a table with a severity pill, category, title + detail, date and amount. Mobile Access (section 40) remains responsive-layout rather than a dedicated client.</w:t>
      </w:r>
    </w:p>
    <w:p>
      <w:pPr>
        <w:pStyle w:val="Heading1"/>
      </w:pPr>
      <w:r>
        <w:t>93.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UI/UX — the Executive Q&amp;A screen follows the dashboard pattern — a six-tile key-figure strip, then a stack of cards, each with a status pill on the left, the question and its plain-language answer in the middle, the headline value on the right, and an expandable per-company / per-item table.</w:t>
      </w:r>
    </w:p>
    <w:p>
      <w:pPr>
        <w:pStyle w:val="Heading1"/>
      </w:pPr>
      <w:r>
        <w:t>94.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UI/UX — the My Payslips table adds a Status column between Period and the money columns: an amber badge “Approved · awaiting payment” or a green badge “Paid · &lt;date&gt;”; the detail dialog repeats the badge under the period heading. Empty-state copy updated from “has been paid” to “has been approved”.</w:t>
      </w:r>
    </w:p>
    <w:p>
      <w:pPr>
        <w:pStyle w:val="Heading1"/>
      </w:pPr>
      <w:r>
        <w:t>95.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UI/UX — the notification dropdown marks Alerts-feed entries with a warning glyph and shows a small department chip on the meta line beside the timestamp; everything else about the bell is unchanged.</w:t>
      </w:r>
    </w:p>
    <w:p>
      <w:pPr>
        <w:pStyle w:val="Heading1"/>
      </w:pPr>
      <w:r>
        <w:t>96.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UI/UX — the bell dropdown now renders with dark text on an opaque white panel (previously white-on-white because it sat inside the navy top bar); the department chip uses the neutral badge pill.</w:t>
      </w:r>
    </w:p>
    <w:p>
      <w:pPr>
        <w:pStyle w:val="Heading1"/>
      </w:pPr>
      <w:r>
        <w:t>97.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UI/UX — the panel sits at the top of the Social media channels card: a compact handle / display-name / tagline form, then a row of primary action buttons; the existing per-channel table and add form are unchanged below it.</w:t>
      </w:r>
    </w:p>
    <w:p>
      <w:pPr>
        <w:pStyle w:val="Heading1"/>
      </w:pPr>
      <w:r>
        <w:t>98.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UI/UX — the Social media channels card is now a fixed nine-row table (platform · URL · label · shown · order · Add/Save), so every platform is visible and directly editable; the Update 88 shared-content panel sits above it unchanged.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UI/UX Design</dc:title>
</cp:coreProperties>
</file>

<file path=docProps/custom.xml><?xml version="1.0" encoding="utf-8"?>
<Properties xmlns="http://schemas.openxmlformats.org/officeDocument/2006/custom-properties" xmlns:vt="http://schemas.openxmlformats.org/officeDocument/2006/docPropsVTypes"/>
</file>