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p>
      <w:pPr>
        <w:pStyle w:val="Heading2"/>
      </w:pPr>
      <w:r>
        <w:t>Addendum (2 September 2026) — Fleet &amp; Vehicle Management Module</w:t>
      </w:r>
    </w:p>
    <w:p>
      <w:pPr>
        <w:pStyle w:val="BodyText"/>
      </w:pPr>
      <w:r>
        <w:t>A new Fleet &amp; Vehicle Management module has been added and built for the group — a fleet register on top of (and optionally linked 1:1 to) the Asset module. Migration 20260902130000_fleet_management adds vehicles (registration, ownership, fuel type, odometer, status) plus driver assignments, odometer / mileage history, fuel logs, service schedules &amp; records (service / repair), statutory renewals (road licence, inspection certificate, PSV permit …), accident records and a rolled-up vehicle-expense log (auto-fed from fuel, service and renewals). A new fleet.manage / fleet.viewAll permission is granted like delivery.*. Endpoints under /api/v1/fleet cover vehicle CRUD, a per-vehicle summary, driver assignment, fuel / odometer logs, service, renewals, accidents, expenses, and five reports at GET /fleet/reports/* including fuel consumption (L/100km, cost/km). Vehicle inspection and insurance are covered by the linked asset; “tracking” is the odometer history plus a manual location (no live GPS). The admin app gains a Fleet screen. Each Morise subsidiary keeps its own fleet in this module. Backlog: GPS telematics ingestion, fuel-card import, a driver-licence register, tyre management, GL posting for fuel / service spend.</w:t>
      </w:r>
    </w:p>
    <w:p>
      <w:pPr>
        <w:pStyle w:val="Heading2"/>
      </w:pPr>
      <w:r>
        <w:t>Addendum (2 September 2026) — Remaining Feature Catalogue (Sections 17-57) &amp; Notifications and Alerts</w:t>
      </w:r>
    </w:p>
    <w:p>
      <w:pPr>
        <w:pStyle w:val="BodyText"/>
      </w:pPr>
      <w:r>
        <w:t>The remaining feature specification (sections 17-57 of the master requirements) has been recorded against the running Morise system — Project / Contract / Legal / Document Management, Approval Workflow, Expense / Loan / Investment / Shareholding Management, Board &amp; Corporate Governance, Customer Support, Communication, Marketing, Business Intelligence &amp; Reporting, Audit Management, the System Audit Trail, Tax and Multi-Currency Management, Multi-Branch and Inter-Company Transactions, Consolidated Financial Management, role-based BI Dashboards, Notifications &amp; Alerts, Mobile Access, Security, Backup &amp; Disaster Recovery, Integrations, API Management, Configuration &amp; Administration, Search, Data Import/Export, Workflow &amp; Automation, Business Process Management, Performance &amp; KPI Management, Compliance, Exit &amp; Employee Separation, Data Protection, the recommended System Architecture, the recommended module list, the group Key Advantage and the phased development approach. Project, Expense, Support, the Audit Trail, Inter-Company, Consolidated reporting, Multi-Branch, the BI dashboards, the Security core, API documentation, the coded workflows and Performance &amp; KPI are BUILT; Contract, Investment, Shareholding, Tax, Multi-Currency, the Approval engine, Communication, Marketing, Search, Import/Export, Mobile, Compliance and Data Protection are PARTIAL; Legal Management, a Document store, Loan &amp; Financing, Board &amp; Governance, Audit Management, Backup &amp; Disaster Recovery, external Integrations, a BPM designer and Exit &amp; Separation are PLANNED. The recommended architecture's core (NestJS / Fastify / PostgreSQL / Redis / Prisma / OpenAPI / JWT / Docker) already matches; the distributed stack stays deferred. Shipped this pass: the cross-module Notifications &amp; Alerts feed — GET /api/v1/alerts and /alerts/summary, aggregating overdue invoices, pending approvals, expiring contracts, vehicle renewals and service, asset insurance and inspections, low stock, expiring batches and project deadlines, scope-filtered per BR-01, with a new Alerts screen. Read-only; no schema; no new permission. Each Morise subsidiary sees only its own alerts unless the caller holds group visibility.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