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Schema — built tables: payroll_runs, payslips, salary_advances (+ Employee.gross_salary). The spec proposes (not applied): salary_structures / salary_components (basic / allowance / overtime / bonus / commission), typed deduction columns or payslip_lines, loans (principal, interest, schedule) distinct from salary_advances, an optional pension_schemes table, a bank_payment_schedule / payment_batch table, and a department_id on payslips for department reporting. No migration ships.</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Schema — migration 20260901120000_salary_structures (applied): tables salary_components (company_id, employee_id, type SalaryComponentType, label, amount, recurring, period_year, period_month, active, note, created_by) and payslip_components (payslip_id FK cascade, type, label, amount); enum SalaryComponentType { basic, allowance, overtime, bonus }. Employee.gross_salary is retained as the fallback.</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Schema — no schema change: the tables exist — accounts; journal_entries / journal_entry_items (entry_type standard / adjusting / closing); financial_periods; recurring_journal_entries (+ items); account_reconciliations; budgets; customer_credit_notes / customer_debit_notes; supplier_invoices (+ items); supplier_payments (+ applications); supplier_credit_notes; plus invoices / payments / payment_allocations. No migration ships.</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Schema — no schema change now. Proposed (not applied): bank_accounts / cash_accounts (or one cash_bank_accounts table linked to a GL account, with bank name / number / currency / branch / opening balance); petty_cash_floats + petty_cash_transactions; cash_movements (type deposit / withdrawal / transfer, from / to account, amount, journal_entry_id); payment_vouchers / receipt_vouchers. No migration ships.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