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Feasibility - no feasibility impact: the subsidiary's organisation is seeded the same way as every subsidiary before it, reusing the existing subsidiary-lifecycle capability. The RC-MIS system itself is a specification, not a feasibility commitment.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Feasibility - no feasibility impact: reuses the existing Product/ProductCategory model and the ensureService() seed helper already exercised for four other subsidiaries' services catalogues.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Feasibility - no feasibility impact: containerizing an already-working application is an operational change, not a new capability requiring new feasibility analysis.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Feasibility — no feasibility impact: trimming an existing translated list to a named subset needs no new technical capability.</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Feasibility — no feasibility impact: backfilling translation keys that already had an established pattern needed no new technical capability.</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Feasibility — no feasibility impact: static hosting of two already-working Vite builds is an operational change, not a new capability requiring design.</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Feasibility — no feasibility impact: adding six dictionary entries to an existing translation seam needs no new technical capability.</w:t>
      </w:r>
    </w:p>
    <w:p>
      <w:pPr>
        <w:pStyle w:val="Heading1"/>
      </w:pPr>
      <w:r>
        <w:t>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Feasibility — no feasibility impact: Let's Encrypt via certbot is a free, well-established mechanism, and the hosted paths (Netlify, Render) already had HTTPS with no extra work.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