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Process - the group gains a milling operating company; its end-to-end process (Supplier -&gt; Grain Lot -&gt; Receiving -&gt; Warehouse / Silo -&gt; Milling Batch -&gt; Production Line -&gt; QC -&gt; Packaging Batch -&gt; Finished Goods -&gt; Customer -&gt; Delivery) is documented in doc 23 as the target; nothing in the running system changes.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Process - the order-to-cash / delivery process gains a customer step: confirm receipt -&gt; automatic e-Stamp, or report a problem -&gt; delivery exception (no stamp). Nothing upstream changes.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Process - the 'confirm receipt' step is now prompted: the customer is shown outstanding confirmations on the Home dashboard and on each order row, and confirms from a focused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Process - the order-fulfilment process ends: admin marks delivered -&gt; the customer is prompted to confirm receipt -&gt; a good confirmation auto-issues the Morise e-Stamp, a problem opens a dispute.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Process - a new 'publish to social' process: compose one master post -&gt; select channels + optional per-channel caption -&gt; publish now or schedule -&gt; the engine fans out and records per-channel success / failure -&gt; retry the failed channels.</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Process - the product-registration process now includes choosing the producing branch/site as a normal step in the New Product form, and gains a first-class edit step, instead of branch attribution being a seed-only, follow-up step.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Process - a seventh subsidiary now exists for MD-led subsidiary-lifecycle processes (create, update, activate/deactivate, delete) to operate against; the RC-MIS's own research and fieldwork processes are documented in docx/25 but not yet built.</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Process - the standard services-catalogue seeding process (categories, then priced service lines, then branch attribution) is applied to a seventh subsidiary.</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Process - the standing local-development process (Section on Running it) gains a dockerized alternative that starts all five services with one command instead of four separate terminals.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Process — no process change: the same client-side language-selection flow, now offering a shorter, fully-translated menu.</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Process — no process change: the same t() catalogue lookup, now with no key gaps to fall back to English for any of the 9 official languages.</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Process — the standing local-development / Docker process (see mbms/README.md) gains a third, static-hosting alternative for the two front-end apps only.</w:t>
      </w:r>
    </w:p>
    <w:p>
      <w:pPr>
        <w:pStyle w:val="Heading1"/>
      </w:pPr>
      <w:r>
        <w:t>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Process — no process change: the same admin-authored banner + glossary translation flow (Update 39), now with no missing dictionary entries for the seeded content.</w:t>
      </w:r>
    </w:p>
    <w:p>
      <w:pPr>
        <w:pStyle w:val="Heading1"/>
      </w:pPr>
      <w:r>
        <w:t>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Process — deploying the self-hosted stack to a real server now includes one extra one-time step (mbms/deploy/init-letsencrypt.sh) before the site is reachable over HTTPS; Netlify/Render deploys are unaffected.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