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Stories - closes an operational backlog item: "As an administrator, I want to dockerize the backend, Admin app and Customer Storefront."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Stories — the “a customer picks their language” story now resolves against a fixed 9-language menu, every option fully translated.</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Stories — the “a customer picks their language” story now holds for every screen, including the group-storefront and delivery-confirmation flows added after the original translation passes.</w:t>
      </w:r>
    </w:p>
    <w:p>
      <w:pPr>
        <w:pStyle w:val="Heading1"/>
      </w:pPr>
      <w:r>
        <w:t>109.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Stories — no new user story: the same apps, users and permissions, reached from a different URL.</w:t>
      </w:r>
    </w:p>
    <w:p>
      <w:pPr>
        <w:pStyle w:val="Heading1"/>
      </w:pPr>
      <w:r>
        <w:t>110.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Stories — the "a customer picks their language" story now holds for promo banners, not just navigation and forms.</w:t>
      </w:r>
    </w:p>
    <w:p>
      <w:pPr>
        <w:pStyle w:val="Heading1"/>
      </w:pPr>
      <w:r>
        <w:t>111.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Stories — no new user story: this closes an operational gap (transport security for a self-hosted deployment), not a customer- or staff-facing feature.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