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Schema - no schema change: uses the existing Product / ProductCategory tables exactly as every prior subsidiary's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Schema - no schema change.</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Schema — no schema change: the language choice stays client-side (localStorage), as before.</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Schema — no schema change: the translation catalogue is static front-end data.</w:t>
      </w:r>
    </w:p>
    <w:p>
      <w:pPr>
        <w:pStyle w:val="Heading1"/>
      </w:pPr>
      <w:r>
        <w:t>119.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Schema — no schema change.</w:t>
      </w:r>
    </w:p>
    <w:p>
      <w:pPr>
        <w:pStyle w:val="Heading1"/>
      </w:pPr>
      <w:r>
        <w:t>120.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Schema — no schema change.</w:t>
      </w:r>
    </w:p>
    <w:p>
      <w:pPr>
        <w:pStyle w:val="Heading1"/>
      </w:pPr>
      <w:r>
        <w:t>121.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Schema — no database schema change; this is infrastructure only.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