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API - no new endpoint: the new services appear automatically through the existing GET/POST/PATCH /products and /product-categories paths.</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API - no new endpoint or contract change: openapi.json is unchanged (378 paths / 481 operations / 188 schemas) since the dockerized backend runs the identical compiled application.</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API — no API change: Accept-Language negotiation on the backend already only recognised these translated codes.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API — no API change.</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API — no API change; openapi.json unaffected.</w:t>
      </w:r>
    </w:p>
    <w:p>
      <w:pPr>
        <w:pStyle w:val="Heading1"/>
      </w:pPr>
      <w:r>
        <w:t>117.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API — no API change; GET /customer-portal/promo-banners behaviour is unchanged except that more of its output is now translated.</w:t>
      </w:r>
    </w:p>
    <w:p>
      <w:pPr>
        <w:pStyle w:val="Heading1"/>
      </w:pPr>
      <w:r>
        <w:t>118.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API — no endpoint change; the backend API is now also reachable over HTTPS when the self-hosted stack is fronted by nginx-proxy, in addition to Render's existing HTTPS.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